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851" w:type="dxa"/>
        <w:tblLook w:val="01E0" w:firstRow="1" w:lastRow="1" w:firstColumn="1" w:lastColumn="1" w:noHBand="0" w:noVBand="0"/>
      </w:tblPr>
      <w:tblGrid>
        <w:gridCol w:w="4253"/>
        <w:gridCol w:w="6095"/>
      </w:tblGrid>
      <w:tr>
        <w:tc>
          <w:tcPr>
            <w:tcW w:w="4253" w:type="dxa"/>
            <w:shd w:val="clear" w:color="auto" w:fill="auto"/>
          </w:tcPr>
          <w:p>
            <w:pPr>
              <w:spacing w:after="0" w:line="240" w:lineRule="auto"/>
              <w:jc w:val="center"/>
              <w:rPr>
                <w:b/>
              </w:rPr>
            </w:pPr>
            <w:r>
              <w:rPr>
                <w:b/>
              </w:rPr>
              <w:t xml:space="preserve">BAN CHỈ ĐẠO 138 </w:t>
            </w:r>
          </w:p>
          <w:p>
            <w:pPr>
              <w:spacing w:after="0" w:line="240" w:lineRule="auto"/>
              <w:jc w:val="center"/>
              <w:rPr>
                <w:b/>
              </w:rPr>
            </w:pPr>
            <w:r>
              <w:rPr>
                <w:b/>
              </w:rPr>
              <w:t>PHƯỜNG ĐẠI NÀI</w:t>
            </w:r>
          </w:p>
          <w:p>
            <w:pPr>
              <w:spacing w:after="0" w:line="24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934721</wp:posOffset>
                      </wp:positionH>
                      <wp:positionV relativeFrom="paragraph">
                        <wp:posOffset>33021</wp:posOffset>
                      </wp:positionV>
                      <wp:extent cx="819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6FB3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6pt" to="138.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LO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W2Zz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"/>
                  </w:pict>
                </mc:Fallback>
              </mc:AlternateContent>
            </w:r>
          </w:p>
          <w:p>
            <w:pPr>
              <w:spacing w:after="0" w:line="240" w:lineRule="auto"/>
              <w:jc w:val="center"/>
              <w:rPr>
                <w:lang w:val="vi-VN"/>
              </w:rPr>
            </w:pPr>
            <w:r>
              <w:t>Số: 08/BC-BCĐ</w:t>
            </w:r>
          </w:p>
        </w:tc>
        <w:tc>
          <w:tcPr>
            <w:tcW w:w="6095" w:type="dxa"/>
            <w:shd w:val="clear" w:color="auto" w:fill="auto"/>
          </w:tcPr>
          <w:p>
            <w:pPr>
              <w:spacing w:after="0" w:line="240" w:lineRule="auto"/>
              <w:jc w:val="center"/>
              <w:rPr>
                <w:b/>
              </w:rPr>
            </w:pPr>
            <w:r>
              <w:rPr>
                <w:b/>
              </w:rPr>
              <w:t>CỘNG HÒA XÃ HỘI CHỦ NGHĨA VIỆT NAM</w:t>
            </w:r>
          </w:p>
          <w:p>
            <w:pPr>
              <w:spacing w:after="0" w:line="240" w:lineRule="auto"/>
              <w:jc w:val="center"/>
              <w:rPr>
                <w:b/>
              </w:rPr>
            </w:pPr>
            <w:r>
              <w:rPr>
                <w:b/>
              </w:rPr>
              <w:t>Độc lập – Tự do – Hạnh phúc</w:t>
            </w:r>
          </w:p>
          <w:p>
            <w:pPr>
              <w:spacing w:after="0" w:line="240" w:lineRule="auto"/>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764540</wp:posOffset>
                      </wp:positionH>
                      <wp:positionV relativeFrom="paragraph">
                        <wp:posOffset>24765</wp:posOffset>
                      </wp:positionV>
                      <wp:extent cx="2219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E061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95pt" to="23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L1GwIAADYEAAAOAAAAZHJzL2Uyb0RvYy54bWysU8GO2jAQvVfqP1i+Q0g2U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"/>
                  </w:pict>
                </mc:Fallback>
              </mc:AlternateContent>
            </w:r>
          </w:p>
          <w:p>
            <w:pPr>
              <w:spacing w:after="0" w:line="240" w:lineRule="auto"/>
              <w:jc w:val="center"/>
            </w:pPr>
            <w:r>
              <w:rPr>
                <w:i/>
              </w:rPr>
              <w:t>Đại Nài, ngày      tháng 10 năm 2024</w:t>
            </w:r>
          </w:p>
        </w:tc>
      </w:tr>
    </w:tbl>
    <w:p>
      <w:pPr>
        <w:spacing w:after="0" w:line="240" w:lineRule="auto"/>
        <w:rPr>
          <w:b/>
          <w:i/>
        </w:rPr>
      </w:pPr>
      <w:r>
        <w:t xml:space="preserve">          </w:t>
      </w:r>
      <w:r>
        <w:rPr>
          <w:i/>
        </w:rPr>
        <w:t xml:space="preserve">                                                                </w:t>
      </w:r>
    </w:p>
    <w:p>
      <w:pPr>
        <w:spacing w:after="0" w:line="240" w:lineRule="auto"/>
        <w:jc w:val="center"/>
        <w:rPr>
          <w:b/>
        </w:rPr>
      </w:pPr>
      <w:r>
        <w:rPr>
          <w:b/>
        </w:rPr>
        <w:t>BÁO CÁO</w:t>
      </w:r>
    </w:p>
    <w:p>
      <w:pPr>
        <w:pStyle w:val="NormalWeb"/>
        <w:spacing w:before="0" w:beforeAutospacing="0" w:after="0" w:afterAutospacing="0"/>
        <w:jc w:val="center"/>
        <w:rPr>
          <w:b/>
          <w:noProof/>
          <w:color w:val="000000" w:themeColor="text1"/>
          <w:sz w:val="28"/>
          <w:szCs w:val="28"/>
        </w:rPr>
      </w:pPr>
      <w:r>
        <w:rPr>
          <w:b/>
          <w:noProof/>
          <w:color w:val="000000" w:themeColor="text1"/>
          <w:sz w:val="28"/>
          <w:szCs w:val="28"/>
        </w:rPr>
        <w:t>Kết quả tự kiểm tra, phân loại phong trào toàn dân bảo vệ ANTQ theo Quyết định số 510/QĐ-BCA-V05 ngày 20/01/2024 của Bộ Công an</w:t>
      </w:r>
    </w:p>
    <w:p>
      <w:pPr>
        <w:pStyle w:val="NormalWeb"/>
        <w:spacing w:before="0" w:beforeAutospacing="0" w:after="0" w:afterAutospacing="0" w:line="276" w:lineRule="auto"/>
        <w:ind w:firstLine="720"/>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2150745</wp:posOffset>
                </wp:positionH>
                <wp:positionV relativeFrom="paragraph">
                  <wp:posOffset>12246</wp:posOffset>
                </wp:positionV>
                <wp:extent cx="1550126"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5501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E1DD3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5pt,.95pt" to="29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" strokecolor="black [3213]" strokeweight=".5pt">
                <v:stroke joinstyle="miter"/>
              </v:line>
            </w:pict>
          </mc:Fallback>
        </mc:AlternateContent>
      </w:r>
    </w:p>
    <w:p>
      <w:pPr>
        <w:pStyle w:val="NormalWeb"/>
        <w:spacing w:before="0" w:beforeAutospacing="0" w:after="0" w:afterAutospacing="0"/>
        <w:ind w:firstLine="720"/>
        <w:jc w:val="both"/>
        <w:rPr>
          <w:bCs/>
          <w:color w:val="000000" w:themeColor="text1"/>
          <w:sz w:val="28"/>
          <w:szCs w:val="28"/>
        </w:rPr>
      </w:pPr>
      <w:r>
        <w:rPr>
          <w:bCs/>
          <w:color w:val="000000" w:themeColor="text1"/>
          <w:sz w:val="28"/>
          <w:szCs w:val="28"/>
        </w:rPr>
        <w:t xml:space="preserve">  Kính gửi:</w:t>
      </w:r>
    </w:p>
    <w:p>
      <w:pPr>
        <w:pStyle w:val="NormalWeb"/>
        <w:numPr>
          <w:ilvl w:val="0"/>
          <w:numId w:val="8"/>
        </w:numPr>
        <w:spacing w:before="0" w:beforeAutospacing="0" w:after="0" w:afterAutospacing="0"/>
        <w:jc w:val="both"/>
        <w:rPr>
          <w:bCs/>
          <w:color w:val="000000" w:themeColor="text1"/>
          <w:sz w:val="28"/>
          <w:szCs w:val="28"/>
        </w:rPr>
      </w:pPr>
      <w:r>
        <w:rPr>
          <w:bCs/>
          <w:color w:val="000000" w:themeColor="text1"/>
          <w:sz w:val="28"/>
          <w:szCs w:val="28"/>
        </w:rPr>
        <w:t>Ban chỉ đạo 138 thành phố Hà Tĩnh;</w:t>
      </w:r>
    </w:p>
    <w:p>
      <w:pPr>
        <w:pStyle w:val="NormalWeb"/>
        <w:numPr>
          <w:ilvl w:val="0"/>
          <w:numId w:val="8"/>
        </w:numPr>
        <w:spacing w:before="0" w:beforeAutospacing="0" w:after="0" w:afterAutospacing="0"/>
        <w:jc w:val="both"/>
        <w:rPr>
          <w:bCs/>
          <w:color w:val="000000" w:themeColor="text1"/>
          <w:sz w:val="28"/>
          <w:szCs w:val="28"/>
        </w:rPr>
      </w:pPr>
      <w:r>
        <w:rPr>
          <w:bCs/>
          <w:color w:val="000000" w:themeColor="text1"/>
          <w:sz w:val="28"/>
          <w:szCs w:val="28"/>
        </w:rPr>
        <w:t>Công an thành phố Hà Tĩnh.</w:t>
      </w:r>
    </w:p>
    <w:p>
      <w:pPr>
        <w:pStyle w:val="NormalWeb"/>
        <w:spacing w:before="0" w:beforeAutospacing="0" w:after="0" w:afterAutospacing="0"/>
        <w:ind w:firstLine="720"/>
        <w:jc w:val="both"/>
        <w:rPr>
          <w:bCs/>
          <w:color w:val="000000" w:themeColor="text1"/>
          <w:sz w:val="28"/>
          <w:szCs w:val="28"/>
        </w:rPr>
      </w:pPr>
    </w:p>
    <w:p>
      <w:pPr>
        <w:pStyle w:val="NormalWeb"/>
        <w:spacing w:before="0" w:beforeAutospacing="0" w:after="0" w:afterAutospacing="0"/>
        <w:ind w:firstLine="720"/>
        <w:jc w:val="both"/>
        <w:rPr>
          <w:bCs/>
          <w:color w:val="000000" w:themeColor="text1"/>
          <w:sz w:val="28"/>
          <w:szCs w:val="28"/>
        </w:rPr>
      </w:pPr>
      <w:r>
        <w:rPr>
          <w:bCs/>
          <w:color w:val="000000" w:themeColor="text1"/>
          <w:sz w:val="28"/>
          <w:szCs w:val="28"/>
        </w:rPr>
        <w:t>Thực hiện Công văn số 1395/CATP-TM ngày 17/10/2024 của Công an Thành phố về việc báo cáo kết quả tự đánh giá, phân loại đạt tiêu chuẩn “An ninh trật tự” và đánh giá phân loại “Phong trào toàn dân bảo vệ an ninh Tổ quốc” năm 2024; BCĐ 138 phường Đại Nài báo cáo kết quả triển khai thực hiện công tác xây dựng phong trào toàn dân bảo vệ ANTQ theo Quyết định 510/QĐ-BCA-V05 ngày 20/01/2024 của Bộ Công an năm 2024, như sau:</w:t>
      </w:r>
    </w:p>
    <w:p>
      <w:pPr>
        <w:pStyle w:val="NormalWeb"/>
        <w:spacing w:before="0" w:beforeAutospacing="0" w:after="0" w:afterAutospacing="0"/>
        <w:ind w:firstLine="720"/>
        <w:jc w:val="both"/>
        <w:rPr>
          <w:b/>
          <w:bCs/>
          <w:color w:val="000000" w:themeColor="text1"/>
          <w:sz w:val="28"/>
          <w:szCs w:val="28"/>
        </w:rPr>
      </w:pPr>
      <w:r>
        <w:rPr>
          <w:b/>
          <w:bCs/>
          <w:color w:val="000000" w:themeColor="text1"/>
          <w:sz w:val="28"/>
          <w:szCs w:val="28"/>
        </w:rPr>
        <w:t>I. Đặc điểm tình hình</w:t>
      </w:r>
    </w:p>
    <w:p>
      <w:pPr>
        <w:spacing w:after="0" w:line="240" w:lineRule="auto"/>
        <w:ind w:firstLine="360"/>
        <w:jc w:val="both"/>
        <w:rPr>
          <w:rFonts w:cs="Times New Roman"/>
          <w:color w:val="000000" w:themeColor="text1"/>
          <w:szCs w:val="28"/>
        </w:rPr>
      </w:pPr>
      <w:r>
        <w:rPr>
          <w:rFonts w:cs="Times New Roman"/>
          <w:color w:val="000000" w:themeColor="text1"/>
          <w:szCs w:val="28"/>
        </w:rPr>
        <w:t>- Phường Đại Nài nằm ở cửa ngõ phía Nam của TP Hà Tĩnh với diện tích tự nhiên 426,5 ha, có tuyến đường Quốc lộ 1A đi qua địa bàn. Toàn phường có 08 tổ dân phố, 1.609 hộ, 6.929 nhân khẩu thường trú; 81 hộ tạm trú, 145 nhân khẩu tạm trú. Trong đó có 261 hộ, 1077 nhân khẩu theo đạo Thiên chúa chủ yếu tập trung trên địa bàn TDP2, TDP10 và nằm rải rác ở các tổ dân phố khác trong địa bàn phường. Có 14 cơ quan, doanh nghiệp, trường học đóng trên địa bàn, 02 cơ sở kinh doanh sang chiết gas, 04 cơ sở kinh doanh lưu trú, hơn 14 nhà trọ cho thuê lưu trú kiểu gia đình. Đồng thời là một địa bàn có địa giới giáp ranh với nhiều địa bàn phường, xã khác: xã Thạch Tân, xã Thạch Bình, phường Văn Yên, phường Hà Huy Tập, phường Nam Hà; có hệ thống giao thông đường bộ, đường thủy, điều kiện phát triển kinh tế, văn hóa, xã hội thuận lợi, lưu lượng người thường xuyên qua lại lưu trú, tạm trú đông đủ các thành phần đến từ nhiều địa phương khác nhau. Tuy nhiên đây cũng là điều kiện thuận lợi để tội phạm và các đối tượng tệ nạn xã hội thường lợi dụng ẩn náu hoạt động, dễ phát sinh phức tạp về ANTT.</w:t>
      </w:r>
    </w:p>
    <w:p>
      <w:pPr>
        <w:pStyle w:val="NormalWeb"/>
        <w:spacing w:before="0" w:beforeAutospacing="0" w:after="0" w:afterAutospacing="0"/>
        <w:ind w:firstLine="720"/>
        <w:jc w:val="both"/>
        <w:rPr>
          <w:color w:val="000000" w:themeColor="text1"/>
          <w:sz w:val="28"/>
          <w:szCs w:val="28"/>
        </w:rPr>
      </w:pPr>
      <w:r>
        <w:rPr>
          <w:b/>
          <w:bCs/>
          <w:color w:val="000000" w:themeColor="text1"/>
          <w:sz w:val="28"/>
          <w:szCs w:val="28"/>
        </w:rPr>
        <w:t>II. Kết quả đạt được</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1. Công tác tham mưu, chỉ đạo về phong trào toàn dân bảo vệ ANTQ</w:t>
      </w:r>
    </w:p>
    <w:p>
      <w:pPr>
        <w:tabs>
          <w:tab w:val="left" w:pos="709"/>
        </w:tabs>
        <w:spacing w:after="0" w:line="240" w:lineRule="auto"/>
        <w:jc w:val="both"/>
        <w:rPr>
          <w:rFonts w:cs="Times New Roman"/>
          <w:color w:val="000000" w:themeColor="text1"/>
          <w:szCs w:val="28"/>
        </w:rPr>
      </w:pPr>
      <w:r>
        <w:rPr>
          <w:rFonts w:cs="Times New Roman"/>
          <w:color w:val="000000" w:themeColor="text1"/>
          <w:szCs w:val="28"/>
        </w:rPr>
        <w:t xml:space="preserve">- Trong năm 2024, Ban chỉ đạo 138 phường Đại Nài đã tập trung chỉ đạo, đẩy mạnh công tác tuyên truyền, phổ biến các chủ trương, đường lối chính sách, nghị quyết của Đảng, pháp luật của Nhà nước về công tác đảm bảo ANTT và xây dựng phong trào toàn dân bảo vệ ANTQ. Đẩy mạnh công tác phối hợp giữa lực lượng CSKV, BVDP, liên đoàn cán bộ, tổ trưởng các tổ liên gia nhằm thực hiện có hiệu quả công tác tuyên truyền, giáo dục, tổ chức vận động cán bộ, đảng viên và nhân dân nâng cao cảnh giác, ý thức, trách nhiệm, năng lực phòng chống tội phạm và các tai tệ nạn xã hội, nhất là các địa bàn phức tạp về ANTT, đồng </w:t>
      </w:r>
      <w:r>
        <w:rPr>
          <w:rFonts w:cs="Times New Roman"/>
          <w:color w:val="000000" w:themeColor="text1"/>
          <w:szCs w:val="28"/>
        </w:rPr>
        <w:lastRenderedPageBreak/>
        <w:t xml:space="preserve">bào các tôn giáo. Thực hiện có hiệu quả Nghị định số 06/2014/NĐ-CP ngày 21/01/2014 của Chính phủ về “Biện pháp vận động quần chúng bảo vệ an ninh quốc gia, giữ gìn trật tự an toàn xã hội”; Kết luận số 86/KL-TW ngày 05/11/2011 của Bộ Chính trị về tiếp tục thực hiện Chỉ thị số 05/CT-TW ngày 14/10/2006 của Bộ Chính trị về  “Tăng cường lãnh đạo công tác đảm bảo an ninh quốc gia trong tình hình mới; Chỉ thị số 09/CT-TW ngày 01/12/2011 của Ban Bí thư trung ương Đảng và Chương trình hành động số 448/CTr-TU ngày 30/05/2012 của Ban thường vụ Tỉnh ủy về “Tăng cường sự lãnh đạo của Đảng đối với phong trào toàn dân bảo vệ ANTQ trong tình hình mới”; Chỉ thị số 07/CT-BCA-V28 ngày 15/08/2014 của Bộ Công an về việc “Đẩy mạnh phong trào toàn dân bảo vệ ANTQ trong cơ quan, doanh nghiệp, nhà trường đáp ứng yêu cầu, nhiệm vụ đảm bảo ANTT trong tình hình mới”; Thông tư số 124/2021/TT-BCA ngày 28/12/2021 của Bộ trưởng Bộ Công an quy định khu dân cư, xã, phường, thị trấn, cơ quan, doanh nghiệp, cơ sở giáo dục đạt tiêu chuẩn “An toàn về an ninh, trật tự”. </w:t>
      </w:r>
    </w:p>
    <w:p>
      <w:pPr>
        <w:tabs>
          <w:tab w:val="left" w:pos="709"/>
        </w:tabs>
        <w:spacing w:after="0" w:line="240" w:lineRule="auto"/>
        <w:jc w:val="both"/>
        <w:rPr>
          <w:rFonts w:cs="Times New Roman"/>
          <w:color w:val="000000" w:themeColor="text1"/>
          <w:szCs w:val="28"/>
        </w:rPr>
      </w:pPr>
      <w:r>
        <w:rPr>
          <w:rFonts w:cs="Times New Roman"/>
          <w:color w:val="000000" w:themeColor="text1"/>
          <w:szCs w:val="28"/>
        </w:rPr>
        <w:tab/>
        <w:t xml:space="preserve">- Tăng cường công tác tuyên truyền, vận động nhân dân tham gia thực hiện Chương trình quốc gia phòng chống tội phạm, ma túy, mại dâm, mua bán người, quản lý, giáo dục, giúp đỡ người được đặc xá, tha tù, người đi cơ sở giáo dục, trường giáo dưỡng về địa phương; các đợt cao điểm tấn công, trấn áp tội phạm, thu hồi vũ khí, vật liệu nổ; vận động đối tượng truy nã đầu thú; phòng, chống cháy, nổ, đảm bảo trật tự an toàn giao thông, trật tự công cộng. Trong năm 2024 trên địa bàn phường không phát sinh tụ điểm phức tạp về ANTT, không xảy ra tai nạn, cháy, nổ gây hậu quả nghiêm trọng. </w:t>
      </w:r>
      <w:r>
        <w:rPr>
          <w:rFonts w:cs="Times New Roman"/>
          <w:color w:val="000000" w:themeColor="text1"/>
          <w:szCs w:val="28"/>
          <w:lang w:eastAsia="vi-VN"/>
        </w:rPr>
        <w:t xml:space="preserve">Trong năm 2024, Ban chỉ đạo 138 phường đã xây dựng và ban hành các công văn chỉ đạo, chương trình, kế hoạch nhằm tăng cường hiệu quả các mô hình về công tác đảm bảo tình hình an ninh trật tự, tăng cường công tác phối hợp giữa Công an phường và các cơ quan, doanh nghiệp, cơ sở giáo dục, lực lượng Dân phòng và các tổ tự quản về ANTT trên địa bàn; tăng cường hiệu quả công tác tuyên truyền nâng cao ý thức cảnh giác cho mỗi người dân trước hoạt động của các loại tội phạm và hành vi vi phạm khác qua các mô hình đông thành viên như: “Kết nối Zalo bình yên”, “Tổ liên gia an toàn về ANTT”, “Tổ liên gia an toàn về PCCC”. Năm 2024 UBND phường đã chỉ đạo duy trì, củng cố, nhân rộng các mô hình “Tổ liên gia an toàn, tự quản về ANTT”, “Zalo kết nối an ninh”, “Camera giám sát ANTT”, “Camera giám sát an ninh tại các nhà trọ”, </w:t>
      </w:r>
      <w:r>
        <w:rPr>
          <w:rFonts w:cs="Times New Roman"/>
          <w:bCs/>
          <w:color w:val="000000" w:themeColor="text1"/>
          <w:szCs w:val="28"/>
          <w:shd w:val="clear" w:color="auto" w:fill="FFFFFF"/>
        </w:rPr>
        <w:t>“Tổ liên gia an toàn về PCCC”, “Điểm chữa cháy công cộng”, “Nhà tôi có bình chữa cháy”, “Nhóm zalo tuyên truyền ANTT”, thành lập mới 03 mô hình “Cổng trường ATGT” tại 03 trường học trên địa bàn phường Đại Nài.</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2. Công tác tuyên truyền, vận động nhân dân trong phong trào toàn dân bảo vệ ANTQ</w:t>
      </w:r>
    </w:p>
    <w:p>
      <w:pPr>
        <w:spacing w:after="0" w:line="240" w:lineRule="auto"/>
        <w:ind w:firstLine="720"/>
        <w:jc w:val="both"/>
        <w:rPr>
          <w:rFonts w:cs="Times New Roman"/>
          <w:color w:val="000000" w:themeColor="text1"/>
          <w:szCs w:val="28"/>
        </w:rPr>
      </w:pPr>
      <w:r>
        <w:rPr>
          <w:rFonts w:cs="Times New Roman"/>
          <w:color w:val="000000" w:themeColor="text1"/>
          <w:szCs w:val="28"/>
        </w:rPr>
        <w:t xml:space="preserve">- Trong năm 2024, BCĐ 138 đã tập trung đẩy mạnh công tác tuyên truyền, phổ biến các chủ trương, đường lối chính sách, nghị quyết của Đảng, pháp luật của Nhà nước về công tác đảm bảo ANTT và xây dựng phong trào toàn dân bảo vệ ANTQ. Tăng cường hiệu quả công tác phối hợp giữa lực lượng CSKV, Tổ Bảo vệ ANTT tại cơ sở, liên đoàn cán bộ, tổ trưởng các tổ liên gia </w:t>
      </w:r>
      <w:r>
        <w:rPr>
          <w:rFonts w:cs="Times New Roman"/>
          <w:color w:val="000000" w:themeColor="text1"/>
          <w:szCs w:val="28"/>
        </w:rPr>
        <w:lastRenderedPageBreak/>
        <w:t>nhằm thực hiện có hiệu quả công tác tuyên truyền, giáo dục, tổ chức vận động cán bộ, đảng viên và nhân dân nâng cao cảnh giác, ý thức, trách nhiệm, năng lực phòng chống tội phạm và các tai tệ nạn xã hội, nhất là các địa bàn phức tạp về ANTT, đồng bào các tôn giáo.</w:t>
      </w:r>
    </w:p>
    <w:p>
      <w:pPr>
        <w:spacing w:after="0" w:line="240" w:lineRule="auto"/>
        <w:ind w:firstLine="720"/>
        <w:jc w:val="both"/>
        <w:rPr>
          <w:rFonts w:cs="Times New Roman"/>
          <w:color w:val="000000" w:themeColor="text1"/>
          <w:spacing w:val="-2"/>
          <w:szCs w:val="28"/>
        </w:rPr>
      </w:pPr>
      <w:r>
        <w:rPr>
          <w:rFonts w:cs="Times New Roman"/>
          <w:color w:val="000000" w:themeColor="text1"/>
          <w:szCs w:val="28"/>
        </w:rPr>
        <w:t>- BCĐ 138</w:t>
      </w:r>
      <w:r>
        <w:rPr>
          <w:rFonts w:cs="Times New Roman"/>
          <w:color w:val="000000" w:themeColor="text1"/>
          <w:szCs w:val="28"/>
          <w:lang w:val="vi-VN"/>
        </w:rPr>
        <w:t xml:space="preserve"> </w:t>
      </w:r>
      <w:r>
        <w:rPr>
          <w:rFonts w:cs="Times New Roman"/>
          <w:color w:val="000000" w:themeColor="text1"/>
          <w:szCs w:val="28"/>
        </w:rPr>
        <w:t>phường</w:t>
      </w:r>
      <w:r>
        <w:rPr>
          <w:rFonts w:cs="Times New Roman"/>
          <w:color w:val="000000" w:themeColor="text1"/>
          <w:szCs w:val="28"/>
          <w:lang w:val="vi-VN"/>
        </w:rPr>
        <w:t xml:space="preserve"> </w:t>
      </w:r>
      <w:r>
        <w:rPr>
          <w:rFonts w:cs="Times New Roman"/>
          <w:color w:val="000000" w:themeColor="text1"/>
          <w:szCs w:val="28"/>
        </w:rPr>
        <w:t xml:space="preserve">đã </w:t>
      </w:r>
      <w:r>
        <w:rPr>
          <w:rFonts w:cs="Times New Roman"/>
          <w:color w:val="000000" w:themeColor="text1"/>
          <w:szCs w:val="28"/>
          <w:lang w:val="vi-VN"/>
        </w:rPr>
        <w:t>chỉ đạo các ngành, đơn vị</w:t>
      </w:r>
      <w:r>
        <w:rPr>
          <w:rFonts w:cs="Times New Roman"/>
          <w:color w:val="000000" w:themeColor="text1"/>
          <w:szCs w:val="28"/>
        </w:rPr>
        <w:t>, đoàn thể</w:t>
      </w:r>
      <w:r>
        <w:rPr>
          <w:rFonts w:cs="Times New Roman"/>
          <w:color w:val="000000" w:themeColor="text1"/>
          <w:szCs w:val="28"/>
          <w:lang w:val="vi-VN"/>
        </w:rPr>
        <w:t xml:space="preserve"> lồng ghép công tác PCTP và vi phạm pháp luật vào các kế hoạch, chương trình công tác năm để triển khai thực hiện nghiêm túc; tổ chức tốt các hoạt động tuyên truyền, giáo dục pháp luật nhằm nâng cao nhận thức cho cán bộ, đoàn viên, hội viên và Nhân dân về công tác PCTP, tệ nạn xã hội và trật tự, an toàn giao thông (TTATGT) gắn với triển khai thực hiện các chương trình PCTP, phòng, chống ma túy, phòng, chống mua bán người. Từ </w:t>
      </w:r>
      <w:r>
        <w:rPr>
          <w:rFonts w:cs="Times New Roman"/>
          <w:color w:val="000000" w:themeColor="text1"/>
          <w:szCs w:val="28"/>
        </w:rPr>
        <w:t>15/12/2024</w:t>
      </w:r>
      <w:r>
        <w:rPr>
          <w:rFonts w:cs="Times New Roman"/>
          <w:color w:val="000000" w:themeColor="text1"/>
          <w:szCs w:val="28"/>
          <w:lang w:val="vi-VN"/>
        </w:rPr>
        <w:t xml:space="preserve"> đến </w:t>
      </w:r>
      <w:r>
        <w:rPr>
          <w:rFonts w:cs="Times New Roman"/>
          <w:color w:val="000000" w:themeColor="text1"/>
          <w:szCs w:val="28"/>
        </w:rPr>
        <w:t>30/10/2024</w:t>
      </w:r>
      <w:r>
        <w:rPr>
          <w:rFonts w:cs="Times New Roman"/>
          <w:color w:val="000000" w:themeColor="text1"/>
          <w:szCs w:val="28"/>
          <w:lang w:val="vi-VN"/>
        </w:rPr>
        <w:t xml:space="preserve">, đã </w:t>
      </w:r>
      <w:r>
        <w:rPr>
          <w:rFonts w:cs="Times New Roman"/>
          <w:color w:val="000000" w:themeColor="text1"/>
          <w:szCs w:val="28"/>
        </w:rPr>
        <w:t xml:space="preserve">chỉ đạo </w:t>
      </w:r>
      <w:r>
        <w:rPr>
          <w:rFonts w:cs="Times New Roman"/>
          <w:color w:val="000000" w:themeColor="text1"/>
          <w:spacing w:val="-2"/>
          <w:szCs w:val="28"/>
          <w:lang w:val="vi-VN"/>
        </w:rPr>
        <w:t xml:space="preserve">tuyên truyền pháp luật; đăng tải hơn </w:t>
      </w:r>
      <w:r>
        <w:rPr>
          <w:rFonts w:cs="Times New Roman"/>
          <w:color w:val="000000" w:themeColor="text1"/>
          <w:spacing w:val="-2"/>
          <w:szCs w:val="28"/>
        </w:rPr>
        <w:t xml:space="preserve">400 </w:t>
      </w:r>
      <w:r>
        <w:rPr>
          <w:rFonts w:cs="Times New Roman"/>
          <w:color w:val="000000" w:themeColor="text1"/>
          <w:spacing w:val="-2"/>
          <w:szCs w:val="28"/>
          <w:lang w:val="vi-VN"/>
        </w:rPr>
        <w:t xml:space="preserve">tin, bài tuyền truyền PCTP và vi phạm pháp luật trên các </w:t>
      </w:r>
      <w:r>
        <w:rPr>
          <w:rFonts w:cs="Times New Roman"/>
          <w:color w:val="000000" w:themeColor="text1"/>
          <w:spacing w:val="-2"/>
          <w:szCs w:val="28"/>
        </w:rPr>
        <w:t>trang thông tin điện tử của UBND phường, UBMTTQ phường, các trang mạng xã hội của Công an phường, Đoàn phường, mô hình Zalo kết nối an ninh.</w:t>
      </w:r>
    </w:p>
    <w:p>
      <w:pPr>
        <w:spacing w:after="0" w:line="240" w:lineRule="auto"/>
        <w:ind w:firstLine="720"/>
        <w:jc w:val="both"/>
        <w:rPr>
          <w:rFonts w:cs="Times New Roman"/>
          <w:color w:val="000000" w:themeColor="text1"/>
          <w:spacing w:val="-2"/>
          <w:szCs w:val="28"/>
        </w:rPr>
      </w:pPr>
      <w:r>
        <w:rPr>
          <w:rFonts w:cs="Times New Roman"/>
          <w:color w:val="000000" w:themeColor="text1"/>
          <w:spacing w:val="-2"/>
          <w:szCs w:val="28"/>
        </w:rPr>
        <w:t xml:space="preserve">- Trong năm 2024, Công an phường phối hợp với Đội CSGT-TT, Đội CS PCTP về Ma túy, Đoàn phường, Hội Phụ nữ phường tổ chức 04 buổi tuyên truyền các quy định của pháp luật liên quan đến ANTT, TTATGT, tuyên truyền tác hại và cách phòng ngừa đối với tệ nạn, tội phạm ma túy; tuyên truyền kỹ năng phòng chống đuối nước trong học sinh, sinh viên. </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 xml:space="preserve">3. Công tác tổ chức “Ngày hội toàn dân bảo vệ ANTQ”: </w:t>
      </w:r>
    </w:p>
    <w:p>
      <w:pPr>
        <w:spacing w:after="0" w:line="240" w:lineRule="auto"/>
        <w:ind w:firstLine="720"/>
        <w:jc w:val="both"/>
        <w:rPr>
          <w:rFonts w:cs="Times New Roman"/>
          <w:b/>
          <w:i/>
          <w:color w:val="000000" w:themeColor="text1"/>
          <w:szCs w:val="28"/>
        </w:rPr>
      </w:pPr>
      <w:r>
        <w:rPr>
          <w:rFonts w:cs="Times New Roman"/>
          <w:b/>
          <w:i/>
          <w:color w:val="000000" w:themeColor="text1"/>
          <w:szCs w:val="28"/>
        </w:rPr>
        <w:t>* Văn bản chỉ đạo của Ban chỉ đạo 138 phường Đại Nài:</w:t>
      </w:r>
    </w:p>
    <w:p>
      <w:pPr>
        <w:spacing w:after="0" w:line="240" w:lineRule="auto"/>
        <w:ind w:right="51" w:firstLine="720"/>
        <w:jc w:val="both"/>
        <w:rPr>
          <w:rFonts w:cs="Times New Roman"/>
          <w:color w:val="000000" w:themeColor="text1"/>
          <w:szCs w:val="28"/>
        </w:rPr>
      </w:pPr>
      <w:r>
        <w:rPr>
          <w:rFonts w:cs="Times New Roman"/>
          <w:color w:val="000000" w:themeColor="text1"/>
          <w:szCs w:val="28"/>
        </w:rPr>
        <w:t>- Kế hoạch số 06/KH-BCĐ ngày 12/06/2024 về việc “Tổ chức ngày hội toàn dân bảo vệ an ninh Tổ quốc năm 2024”.</w:t>
      </w:r>
    </w:p>
    <w:p>
      <w:pPr>
        <w:spacing w:after="0" w:line="240" w:lineRule="auto"/>
        <w:jc w:val="both"/>
        <w:rPr>
          <w:rFonts w:cs="Times New Roman"/>
          <w:color w:val="000000" w:themeColor="text1"/>
          <w:szCs w:val="28"/>
        </w:rPr>
      </w:pPr>
      <w:r>
        <w:rPr>
          <w:rFonts w:cs="Times New Roman"/>
          <w:b/>
          <w:i/>
          <w:color w:val="000000" w:themeColor="text1"/>
          <w:szCs w:val="28"/>
        </w:rPr>
        <w:tab/>
        <w:t xml:space="preserve">- </w:t>
      </w:r>
      <w:r>
        <w:rPr>
          <w:rFonts w:cs="Times New Roman"/>
          <w:color w:val="000000" w:themeColor="text1"/>
          <w:szCs w:val="28"/>
        </w:rPr>
        <w:t>Công văn</w:t>
      </w:r>
      <w:r>
        <w:rPr>
          <w:rFonts w:cs="Times New Roman"/>
          <w:b/>
          <w:i/>
          <w:color w:val="000000" w:themeColor="text1"/>
          <w:szCs w:val="28"/>
        </w:rPr>
        <w:t xml:space="preserve"> </w:t>
      </w:r>
      <w:r>
        <w:rPr>
          <w:rFonts w:cs="Times New Roman"/>
          <w:color w:val="000000" w:themeColor="text1"/>
          <w:szCs w:val="28"/>
        </w:rPr>
        <w:t>số 06/CV-BCĐ138 ngày 12/06/2024 về việc “Tổ chức ngày hội toàn dân bảo vệ an ninh Tổ quốc năm 2024 và hướng dẫn các tổ dân phố chuẩn bị điều kiện tổ chức ngày hội”.</w:t>
      </w:r>
    </w:p>
    <w:p>
      <w:pPr>
        <w:spacing w:after="0" w:line="240" w:lineRule="auto"/>
        <w:jc w:val="both"/>
        <w:rPr>
          <w:rFonts w:cs="Times New Roman"/>
          <w:b/>
          <w:i/>
          <w:color w:val="000000" w:themeColor="text1"/>
          <w:szCs w:val="28"/>
        </w:rPr>
      </w:pPr>
      <w:r>
        <w:rPr>
          <w:rFonts w:cs="Times New Roman"/>
          <w:b/>
          <w:i/>
          <w:color w:val="000000" w:themeColor="text1"/>
          <w:szCs w:val="28"/>
        </w:rPr>
        <w:tab/>
        <w:t>* Tuyên truyền:</w:t>
      </w:r>
    </w:p>
    <w:p>
      <w:pPr>
        <w:spacing w:after="0" w:line="240" w:lineRule="auto"/>
        <w:jc w:val="both"/>
        <w:rPr>
          <w:rFonts w:cs="Times New Roman"/>
          <w:color w:val="000000" w:themeColor="text1"/>
          <w:szCs w:val="28"/>
        </w:rPr>
      </w:pPr>
      <w:r>
        <w:rPr>
          <w:rFonts w:cs="Times New Roman"/>
          <w:color w:val="000000" w:themeColor="text1"/>
          <w:szCs w:val="28"/>
        </w:rPr>
        <w:tab/>
        <w:t>- Số lượng Pa nô, áp phích: 02.</w:t>
      </w:r>
    </w:p>
    <w:p>
      <w:pPr>
        <w:spacing w:after="0" w:line="240" w:lineRule="auto"/>
        <w:jc w:val="both"/>
        <w:rPr>
          <w:rFonts w:cs="Times New Roman"/>
          <w:color w:val="000000" w:themeColor="text1"/>
          <w:szCs w:val="28"/>
        </w:rPr>
      </w:pPr>
      <w:r>
        <w:rPr>
          <w:rFonts w:cs="Times New Roman"/>
          <w:color w:val="000000" w:themeColor="text1"/>
          <w:szCs w:val="28"/>
        </w:rPr>
        <w:tab/>
        <w:t>- Số băng rôn: 08.</w:t>
      </w:r>
    </w:p>
    <w:p>
      <w:pPr>
        <w:spacing w:after="0" w:line="240" w:lineRule="auto"/>
        <w:jc w:val="both"/>
        <w:rPr>
          <w:rFonts w:cs="Times New Roman"/>
          <w:color w:val="000000" w:themeColor="text1"/>
          <w:szCs w:val="28"/>
        </w:rPr>
      </w:pPr>
      <w:r>
        <w:rPr>
          <w:rFonts w:cs="Times New Roman"/>
          <w:color w:val="000000" w:themeColor="text1"/>
          <w:szCs w:val="28"/>
        </w:rPr>
        <w:tab/>
        <w:t>- Số bảng led: 05.</w:t>
      </w:r>
    </w:p>
    <w:p>
      <w:pPr>
        <w:spacing w:after="0" w:line="240" w:lineRule="auto"/>
        <w:jc w:val="both"/>
        <w:rPr>
          <w:rFonts w:cs="Times New Roman"/>
          <w:color w:val="000000" w:themeColor="text1"/>
          <w:szCs w:val="28"/>
        </w:rPr>
      </w:pPr>
      <w:r>
        <w:rPr>
          <w:rFonts w:cs="Times New Roman"/>
          <w:color w:val="000000" w:themeColor="text1"/>
          <w:szCs w:val="28"/>
        </w:rPr>
        <w:tab/>
        <w:t>- Số cờ phướn: 40.</w:t>
      </w:r>
    </w:p>
    <w:p>
      <w:pPr>
        <w:spacing w:after="0" w:line="240" w:lineRule="auto"/>
        <w:jc w:val="both"/>
        <w:rPr>
          <w:rFonts w:cs="Times New Roman"/>
          <w:i/>
          <w:color w:val="000000" w:themeColor="text1"/>
          <w:szCs w:val="28"/>
        </w:rPr>
      </w:pPr>
      <w:r>
        <w:rPr>
          <w:rFonts w:cs="Times New Roman"/>
          <w:color w:val="000000" w:themeColor="text1"/>
          <w:szCs w:val="28"/>
        </w:rPr>
        <w:tab/>
        <w:t xml:space="preserve">- Tổng số tiền: </w:t>
      </w:r>
      <w:r>
        <w:rPr>
          <w:rFonts w:cs="Times New Roman"/>
          <w:i/>
          <w:color w:val="000000" w:themeColor="text1"/>
          <w:szCs w:val="28"/>
        </w:rPr>
        <w:t>Khoảng 8.500.000 đồng.</w:t>
      </w:r>
    </w:p>
    <w:p>
      <w:pPr>
        <w:spacing w:after="0" w:line="240" w:lineRule="auto"/>
        <w:jc w:val="both"/>
        <w:rPr>
          <w:rFonts w:cs="Times New Roman"/>
          <w:b/>
          <w:i/>
          <w:color w:val="000000" w:themeColor="text1"/>
          <w:szCs w:val="28"/>
        </w:rPr>
      </w:pPr>
      <w:r>
        <w:rPr>
          <w:rFonts w:cs="Times New Roman"/>
          <w:b/>
          <w:i/>
          <w:color w:val="000000" w:themeColor="text1"/>
          <w:szCs w:val="28"/>
        </w:rPr>
        <w:tab/>
        <w:t>* Công tác tổ chức  Ngày hội Toàn dân bảo vệ ANTQ:</w:t>
      </w:r>
    </w:p>
    <w:p>
      <w:pPr>
        <w:spacing w:after="0" w:line="240" w:lineRule="auto"/>
        <w:jc w:val="both"/>
        <w:rPr>
          <w:rFonts w:cs="Times New Roman"/>
          <w:i/>
          <w:color w:val="000000" w:themeColor="text1"/>
          <w:szCs w:val="28"/>
        </w:rPr>
      </w:pPr>
      <w:r>
        <w:rPr>
          <w:rFonts w:cs="Times New Roman"/>
          <w:color w:val="000000" w:themeColor="text1"/>
          <w:szCs w:val="28"/>
        </w:rPr>
        <w:tab/>
        <w:t>- Số lượng quà: 16 suất quà</w:t>
      </w:r>
      <w:r>
        <w:rPr>
          <w:rFonts w:cs="Times New Roman"/>
          <w:i/>
          <w:color w:val="000000" w:themeColor="text1"/>
          <w:szCs w:val="28"/>
        </w:rPr>
        <w:t xml:space="preserve">  tặng cá nhân có thành tích tiêu biểu trong phong trào Toàn dân bảo vệ ANTQ.</w:t>
      </w:r>
    </w:p>
    <w:p>
      <w:pPr>
        <w:spacing w:after="0" w:line="240" w:lineRule="auto"/>
        <w:jc w:val="both"/>
        <w:rPr>
          <w:rFonts w:cs="Times New Roman"/>
          <w:i/>
          <w:color w:val="000000" w:themeColor="text1"/>
          <w:szCs w:val="28"/>
        </w:rPr>
      </w:pPr>
      <w:r>
        <w:rPr>
          <w:rFonts w:cs="Times New Roman"/>
          <w:color w:val="000000" w:themeColor="text1"/>
          <w:szCs w:val="28"/>
        </w:rPr>
        <w:tab/>
        <w:t xml:space="preserve">- Số tiền </w:t>
      </w:r>
      <w:r>
        <w:rPr>
          <w:rFonts w:cs="Times New Roman"/>
          <w:i/>
          <w:color w:val="000000" w:themeColor="text1"/>
          <w:szCs w:val="28"/>
        </w:rPr>
        <w:t>(đối với tập thể bao nhiêu, đối với cá nhân bao nhiêu): 16 suất cá nhân: (01 suất/100 nghìn); tổng 1.600.000 đồng)</w:t>
      </w:r>
    </w:p>
    <w:p>
      <w:pPr>
        <w:spacing w:after="0" w:line="240" w:lineRule="auto"/>
        <w:jc w:val="both"/>
        <w:rPr>
          <w:rFonts w:cs="Times New Roman"/>
          <w:i/>
          <w:color w:val="000000" w:themeColor="text1"/>
          <w:szCs w:val="28"/>
        </w:rPr>
      </w:pPr>
      <w:r>
        <w:rPr>
          <w:rFonts w:cs="Times New Roman"/>
          <w:i/>
          <w:color w:val="000000" w:themeColor="text1"/>
          <w:szCs w:val="28"/>
        </w:rPr>
        <w:tab/>
        <w:t>- Số lượng khu dân cư tổ chức Ngày hội: 8/8 TDP.</w:t>
      </w:r>
    </w:p>
    <w:p>
      <w:pPr>
        <w:spacing w:after="0" w:line="240" w:lineRule="auto"/>
        <w:jc w:val="both"/>
        <w:rPr>
          <w:rFonts w:cs="Times New Roman"/>
          <w:color w:val="000000" w:themeColor="text1"/>
          <w:szCs w:val="28"/>
        </w:rPr>
      </w:pPr>
      <w:r>
        <w:rPr>
          <w:rFonts w:cs="Times New Roman"/>
          <w:i/>
          <w:color w:val="000000" w:themeColor="text1"/>
          <w:szCs w:val="28"/>
        </w:rPr>
        <w:tab/>
        <w:t xml:space="preserve">- </w:t>
      </w:r>
      <w:r>
        <w:rPr>
          <w:rFonts w:cs="Times New Roman"/>
          <w:color w:val="000000" w:themeColor="text1"/>
          <w:szCs w:val="28"/>
        </w:rPr>
        <w:t>Số lượng quần chúng nhân dân tham gia: 1300 người.</w:t>
      </w:r>
    </w:p>
    <w:p>
      <w:pPr>
        <w:spacing w:after="0" w:line="240" w:lineRule="auto"/>
        <w:jc w:val="both"/>
        <w:rPr>
          <w:rFonts w:cs="Times New Roman"/>
          <w:b/>
          <w:i/>
          <w:color w:val="000000" w:themeColor="text1"/>
          <w:szCs w:val="28"/>
        </w:rPr>
      </w:pPr>
      <w:r>
        <w:rPr>
          <w:rFonts w:cs="Times New Roman"/>
          <w:b/>
          <w:i/>
          <w:color w:val="000000" w:themeColor="text1"/>
          <w:szCs w:val="28"/>
        </w:rPr>
        <w:tab/>
        <w:t>* Các hoạt động tổ chức hưởng ứng Ngày hội:</w:t>
      </w:r>
    </w:p>
    <w:p>
      <w:pPr>
        <w:spacing w:after="0" w:line="240" w:lineRule="auto"/>
        <w:jc w:val="both"/>
        <w:rPr>
          <w:rFonts w:cs="Times New Roman"/>
          <w:i/>
          <w:color w:val="000000" w:themeColor="text1"/>
          <w:szCs w:val="28"/>
        </w:rPr>
      </w:pPr>
      <w:r>
        <w:rPr>
          <w:rFonts w:cs="Times New Roman"/>
          <w:color w:val="000000" w:themeColor="text1"/>
          <w:szCs w:val="28"/>
        </w:rPr>
        <w:tab/>
        <w:t xml:space="preserve">Tổ chức các hoạt động văn hóa văn nghệ, thể dục thể thao trên địa bàn. Tuyên truyền sâu rộng và tổ chức tốt các phong trào thi đua yêu nước chào mừng kỷ niệm </w:t>
      </w:r>
      <w:r>
        <w:rPr>
          <w:bCs/>
          <w:color w:val="000000"/>
          <w:szCs w:val="28"/>
        </w:rPr>
        <w:t xml:space="preserve">79 năm Ngày Cách mạng Tháng 8, Quốc khánh 02/9; ngày Truyền thống Công an nhân dân Việt Nam và “Ngày hội toàn dân bảo vệ </w:t>
      </w:r>
      <w:r>
        <w:rPr>
          <w:bCs/>
          <w:color w:val="000000"/>
          <w:szCs w:val="28"/>
        </w:rPr>
        <w:lastRenderedPageBreak/>
        <w:t>ANTQ” 19/8</w:t>
      </w:r>
      <w:r>
        <w:rPr>
          <w:rFonts w:cs="Times New Roman"/>
          <w:color w:val="000000" w:themeColor="text1"/>
          <w:szCs w:val="28"/>
        </w:rPr>
        <w:t xml:space="preserve">, kết hợp là công tác tuyên truyền kỷ niệm 70 năm tái lập xã (1954 – 2024) và 20 năm thành lập phường (2004 –2024). Tổ chức tốt các chương trình, hoạt động văn hoá, thể thao, lễ hội bảo đảm thiết thực, an toàn, tiết kiệm… Tổ chức thành công giải Kéo co Nữ và các trò chơi dân gian, đồng diễn Dân vũ với 8/8 tổ dân phố tham gia và thu hút đông đảo người dân đên cổ vũ; tổ chức thành công hội diễn văn nghệ chào mừng kỷ niệm 70 năm tái lập xã (1954 – 2024) và 20 năm thành lập phường (2004 –/2024); tổ chức thành công Ngày hội “điểm” cấp tỉnh tại TDP6. </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4. Lực lượng nòng cốt tại địa phương</w:t>
      </w:r>
    </w:p>
    <w:p>
      <w:pPr>
        <w:spacing w:after="0" w:line="240" w:lineRule="auto"/>
        <w:ind w:left="24" w:right="-12" w:firstLine="567"/>
        <w:jc w:val="both"/>
        <w:rPr>
          <w:rFonts w:cs="Times New Roman"/>
          <w:color w:val="000000" w:themeColor="text1"/>
          <w:szCs w:val="28"/>
        </w:rPr>
      </w:pPr>
      <w:r>
        <w:rPr>
          <w:rFonts w:cs="Times New Roman"/>
          <w:color w:val="000000" w:themeColor="text1"/>
          <w:szCs w:val="28"/>
        </w:rPr>
        <w:t xml:space="preserve">+ Trong năm 2024, Công an phường đã tham mưu cấp ủy, chính quyền địa phương lập phương án, kế hoạch phân công các lực lượng tham gia tuần tra, đảm bảo ANTT, bảo vệ tết Nguyên đán, các ngày lễ trọng đại của đất nước và các sự kiện chính trị quan trọng năm 2024; rà soát, lựa chọn nhân sự kiện toàn, sát nhập Đội Dân phòng và Tổ Bảo vệ dân phố để thành lập 08 Tổ bảo vệ ANTT tại cơ sở với 24 thành viên; từ khi thành lập đến nay đã phối hợp phường đội, dân quân tự vệ tuần tra kiểm soát, đảm bảo ANTT trong các dịp lê, sự kiện văn hóa – thể thao – văn hóa – chính trị diễn ra trên địa bàn phường. </w:t>
      </w:r>
    </w:p>
    <w:p>
      <w:pPr>
        <w:spacing w:after="0" w:line="240" w:lineRule="auto"/>
        <w:ind w:left="24" w:firstLine="567"/>
        <w:jc w:val="both"/>
        <w:rPr>
          <w:rFonts w:cs="Times New Roman"/>
          <w:color w:val="000000" w:themeColor="text1"/>
          <w:szCs w:val="28"/>
        </w:rPr>
      </w:pPr>
      <w:r>
        <w:rPr>
          <w:rFonts w:cs="Times New Roman"/>
          <w:color w:val="000000" w:themeColor="text1"/>
          <w:szCs w:val="28"/>
        </w:rPr>
        <w:t xml:space="preserve">+ Định kỳ theo quý tổ chức ra quân làm trật tự giao thông, vận động các hộ dân kinh doanh lấn chiếm lòng lề đường tháo dỡ bạt, mái che, tiến hành nhắc nhở các trường hợp vi phạm. </w:t>
      </w:r>
    </w:p>
    <w:p>
      <w:pPr>
        <w:spacing w:after="0" w:line="240" w:lineRule="auto"/>
        <w:ind w:right="-17" w:firstLine="567"/>
        <w:jc w:val="both"/>
        <w:rPr>
          <w:rFonts w:cs="Times New Roman"/>
          <w:color w:val="000000" w:themeColor="text1"/>
          <w:szCs w:val="28"/>
        </w:rPr>
      </w:pPr>
      <w:r>
        <w:rPr>
          <w:rFonts w:cs="Times New Roman"/>
          <w:color w:val="000000" w:themeColor="text1"/>
          <w:szCs w:val="28"/>
        </w:rPr>
        <w:t>Lực lượng Bảo vệ ANTT tại cơ sở thường xuyên nắm tình hình xảy ra trên địa bàn phụ trách, phối hợp chặt chẽ cùng lực lượng CSKV trong công tác đảm bảo ANTT, kiểm tra nhân, hộ khẩu thường trú, tạm trú; tuần tra kiểm soát trên địa bàn; là “cánh tay nối dài” của lực lượng Công an phường trong việc giám sát tình hình ANTT tại cơ sở. Bên cạnh đó Công an Thành phố cũng đã cấp trang thiết bị mới phục vụ công tác của lực lượng Bảo vệ ANTT tại cơ sở. Công an phường chủ trì chế độ giao ban Bảo vệ ANTT tại cơ sở vào ngày 25 hàng tháng, trong các buổi giao ban thường xuyên kết hợp bồi dưỡng kiến thức pháp luật, nghiệp vụ bảo vệ ANTT cho lực lượng BVDP. Năm 2024 không có thành viên Tổ Bảo vệ ANTT tại cơ sở bị kỷ luật.</w:t>
      </w:r>
    </w:p>
    <w:p>
      <w:pPr>
        <w:pStyle w:val="NormalWeb"/>
        <w:spacing w:before="0" w:beforeAutospacing="0" w:after="0" w:afterAutospacing="0"/>
        <w:ind w:firstLine="720"/>
        <w:jc w:val="both"/>
        <w:rPr>
          <w:color w:val="000000" w:themeColor="text1"/>
          <w:sz w:val="28"/>
          <w:szCs w:val="28"/>
        </w:rPr>
      </w:pPr>
      <w:r>
        <w:rPr>
          <w:b/>
          <w:color w:val="000000" w:themeColor="text1"/>
          <w:sz w:val="28"/>
          <w:szCs w:val="28"/>
        </w:rPr>
        <w:t>5. Công tác phối hợp giữa các ban ngành, đoàn thể:</w:t>
      </w:r>
      <w:r>
        <w:rPr>
          <w:color w:val="000000" w:themeColor="text1"/>
          <w:sz w:val="28"/>
          <w:szCs w:val="28"/>
        </w:rPr>
        <w:t xml:space="preserve"> </w:t>
      </w:r>
    </w:p>
    <w:p>
      <w:pPr>
        <w:spacing w:after="0" w:line="240" w:lineRule="auto"/>
        <w:ind w:firstLine="567"/>
        <w:jc w:val="both"/>
        <w:rPr>
          <w:rFonts w:cs="Times New Roman"/>
          <w:color w:val="000000" w:themeColor="text1"/>
          <w:szCs w:val="28"/>
        </w:rPr>
      </w:pPr>
      <w:r>
        <w:rPr>
          <w:rFonts w:cs="Times New Roman"/>
          <w:color w:val="000000" w:themeColor="text1"/>
          <w:szCs w:val="28"/>
        </w:rPr>
        <w:t>- Tiếp tục chỉ đạo tổ chức thực hiện các Chương trình, quy chế phối hợp giữa Công an với MTTQ và các đoàn thể chính trị - xã hội trong công tác đảm bảo ANTT và xây dựng phong trào toàn dân bảo vệ ANTQ:</w:t>
      </w:r>
    </w:p>
    <w:p>
      <w:pPr>
        <w:spacing w:after="0" w:line="240" w:lineRule="auto"/>
        <w:ind w:firstLine="567"/>
        <w:jc w:val="both"/>
        <w:rPr>
          <w:rFonts w:cs="Times New Roman"/>
          <w:color w:val="000000" w:themeColor="text1"/>
          <w:szCs w:val="28"/>
        </w:rPr>
      </w:pPr>
      <w:r>
        <w:rPr>
          <w:rFonts w:cs="Times New Roman"/>
          <w:color w:val="000000" w:themeColor="text1"/>
          <w:szCs w:val="28"/>
        </w:rPr>
        <w:t>- UBMTTQ tăng cường công tác chỉ đạo, hướng dẫn các tiểu ban MTTQ thực hiện công tác tuyên truyền, vận động toàn dân tham gia bảo vệ ANTQ, phòng chống tệ nạn xã hội trong cộng đồng dân cư, chấp hành tốt các chủ trương, đường lối, chính sách của Đảng, pháp luật của Nhà nước.</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 xml:space="preserve">6. Nguồn kinh phí hỗ trợ công tác xây dựng phong trào: </w:t>
      </w:r>
    </w:p>
    <w:p>
      <w:pPr>
        <w:pStyle w:val="NormalWeb"/>
        <w:spacing w:before="0" w:beforeAutospacing="0" w:after="0" w:afterAutospacing="0"/>
        <w:ind w:firstLine="720"/>
        <w:jc w:val="both"/>
        <w:rPr>
          <w:color w:val="000000" w:themeColor="text1"/>
          <w:sz w:val="28"/>
          <w:szCs w:val="28"/>
        </w:rPr>
      </w:pPr>
      <w:r>
        <w:rPr>
          <w:color w:val="000000" w:themeColor="text1"/>
          <w:sz w:val="28"/>
          <w:szCs w:val="28"/>
        </w:rPr>
        <w:t>Nguồn ngân sách nhà nước và kinh phí huy động tự nguyện đóng góp theo hình thức xã hội hoá đúng quy định để xây dựng phong trào.</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7. Công tác bảo vệ chính trị nội bộ tại cơ quan Đảng, chính quyền:</w:t>
      </w:r>
    </w:p>
    <w:p>
      <w:pPr>
        <w:spacing w:after="0" w:line="240" w:lineRule="auto"/>
        <w:ind w:firstLine="720"/>
        <w:jc w:val="both"/>
        <w:rPr>
          <w:rFonts w:cs="Times New Roman"/>
          <w:color w:val="000000" w:themeColor="text1"/>
          <w:szCs w:val="28"/>
        </w:rPr>
      </w:pPr>
      <w:r>
        <w:rPr>
          <w:rFonts w:cs="Times New Roman"/>
          <w:color w:val="000000" w:themeColor="text1"/>
          <w:szCs w:val="28"/>
        </w:rPr>
        <w:t xml:space="preserve">Hoạt động bảo vệ an toàn chính trị nội bộ, ANTT tại cơ quan Đảng, chính quyền trên địa bàn phường luôn được Đảng ủy, UBND, UBMTTQ phường quan </w:t>
      </w:r>
      <w:r>
        <w:rPr>
          <w:rFonts w:cs="Times New Roman"/>
          <w:color w:val="000000" w:themeColor="text1"/>
          <w:szCs w:val="28"/>
        </w:rPr>
        <w:lastRenderedPageBreak/>
        <w:t xml:space="preserve">tâm chỉ đạo thực hiện và đạt được nhiều kết quả tích cực; thực hiện tốt công tác tuyên truyền giáo dục chính trị, tư tưởng cho cán bộ, công chức, viên chức nâng cao ý thức trách nhiệm của cán bộ, công chức, viên chức trong đấu tranh phòng ngừa, cảnh giác tội phạm, đảm bảo an ninh trật tự. </w:t>
      </w:r>
    </w:p>
    <w:p>
      <w:pPr>
        <w:spacing w:after="0" w:line="240" w:lineRule="auto"/>
        <w:ind w:firstLine="720"/>
        <w:jc w:val="both"/>
        <w:rPr>
          <w:rFonts w:cs="Times New Roman"/>
          <w:color w:val="000000" w:themeColor="text1"/>
          <w:szCs w:val="28"/>
        </w:rPr>
      </w:pPr>
      <w:r>
        <w:rPr>
          <w:rFonts w:cs="Times New Roman"/>
          <w:color w:val="000000" w:themeColor="text1"/>
          <w:szCs w:val="28"/>
        </w:rPr>
        <w:t>Lực lượng Công an phường, Bảo vệ ANTT tại cơ sở và các ban ngành chức năng hoàn thành tốt nhiệm vụ chuyên môn đề ra. Cụ thể đã triển khai thực hiện có hiệu quả các đợt cao điểm tấn công phòng chống tội phạm, các chương trình, kế hoạch Công an cấp trên đề ra. Làm tốt công tác quản lý nhà nước về ANTT như: quản lý người nước ngoài, quản lý nhân, khẩu hộ khẩu, quản lý ngành nghề kinh doanh có điều kiện, quản lý vũ khí – vật liệu nổ - công cụ hỗ trợ, làm tốt công tác quản lý trật tự an toàn giao thông, trật tự đô thị, phòng chống thiên tai, dịch bệnh…</w:t>
      </w:r>
    </w:p>
    <w:p>
      <w:pPr>
        <w:pStyle w:val="NormalWeb"/>
        <w:spacing w:before="0" w:beforeAutospacing="0" w:after="0" w:afterAutospacing="0"/>
        <w:ind w:firstLine="720"/>
        <w:jc w:val="both"/>
        <w:rPr>
          <w:color w:val="000000" w:themeColor="text1"/>
          <w:sz w:val="28"/>
          <w:szCs w:val="28"/>
        </w:rPr>
      </w:pPr>
      <w:r>
        <w:rPr>
          <w:b/>
          <w:color w:val="000000" w:themeColor="text1"/>
          <w:sz w:val="28"/>
          <w:szCs w:val="28"/>
        </w:rPr>
        <w:t>8. Công tác xây dựng, duy trì, củng cố các mô hình ANTT:</w:t>
      </w:r>
    </w:p>
    <w:p>
      <w:pPr>
        <w:spacing w:after="0" w:line="240" w:lineRule="auto"/>
        <w:ind w:firstLine="720"/>
        <w:jc w:val="both"/>
        <w:rPr>
          <w:rFonts w:cs="Times New Roman"/>
          <w:bCs/>
          <w:color w:val="000000" w:themeColor="text1"/>
          <w:szCs w:val="28"/>
          <w:shd w:val="clear" w:color="auto" w:fill="FFFFFF"/>
        </w:rPr>
      </w:pPr>
      <w:r>
        <w:rPr>
          <w:rFonts w:cs="Times New Roman"/>
          <w:color w:val="000000" w:themeColor="text1"/>
          <w:szCs w:val="28"/>
          <w:lang w:eastAsia="vi-VN"/>
        </w:rPr>
        <w:t xml:space="preserve">Trong năm 2024 UBND phường đã xây dựng và ban hành các công văn chỉ đạo, chương trình, kế hoạch nhằm tăng cường hiệu quả các mô hình về công tác đảm bảo tình hình an ninh trật tự, tăng cường công tác phối hợp giữa Công an phường và các cơ quan, doanh nghiệp, cơ sở giáo dục, lực lượng Dân phòng và các tổ tự quản về ANTT trên địa bàn; tăng cường hiệu quả công tác tuyên truyền nâng cao ý thức cảnh giác cho mỗi người dân trước hoạt động của các loại tội phạm và hành vi vi phạm khác qua các mô hình đông thành viên như: “Kết nối Zalo bình yên”, “Tổ liên gia an toàn về ANTT”, “Tổ liên gia an toàn về PCCC”. Năm 2024 UBND phường đã chỉ đạo duy trì, củng cố, nhân rộng các mô hình “Tổ liên gia an toàn, tự quản về ANTT”, “Zalo kết nối an ninh”, “Camera giám sát ANTT”, “Camera giám sát an ninh tại các nhà trọ”, </w:t>
      </w:r>
      <w:r>
        <w:rPr>
          <w:rFonts w:cs="Times New Roman"/>
          <w:bCs/>
          <w:color w:val="000000" w:themeColor="text1"/>
          <w:szCs w:val="28"/>
          <w:shd w:val="clear" w:color="auto" w:fill="FFFFFF"/>
        </w:rPr>
        <w:t>“Tổ liên gia an toàn về PCCC”, “Điểm chữa cháy công cộng”, “Nhà tôi có bình chữa cháy”, “Nhóm zalo tuyên truyền ANTT”, thành lập mới 03 mô hình “Cổng trường ATGT” tại 03 trường học trên địa bàn phường Đại Nài.</w:t>
      </w:r>
    </w:p>
    <w:p>
      <w:pPr>
        <w:spacing w:after="0" w:line="240" w:lineRule="auto"/>
        <w:ind w:firstLine="720"/>
        <w:jc w:val="both"/>
        <w:rPr>
          <w:rFonts w:cs="Times New Roman"/>
          <w:color w:val="000000" w:themeColor="text1"/>
          <w:szCs w:val="28"/>
          <w:lang w:eastAsia="vi-VN"/>
        </w:rPr>
      </w:pPr>
      <w:r>
        <w:rPr>
          <w:rFonts w:cs="Times New Roman"/>
          <w:color w:val="000000" w:themeColor="text1"/>
          <w:szCs w:val="28"/>
          <w:lang w:eastAsia="vi-VN"/>
        </w:rPr>
        <w:t xml:space="preserve">Số mô hình về ANTT hiện nay trên địa bàn phường Đại Nài: 09 mô hình. </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 xml:space="preserve">9. Thực hiện Thông tư 124 về tiêu chuẩn “An toàn về ANTT”: </w:t>
      </w:r>
    </w:p>
    <w:p>
      <w:pPr>
        <w:ind w:firstLine="720"/>
        <w:jc w:val="both"/>
        <w:rPr>
          <w:szCs w:val="28"/>
        </w:rPr>
      </w:pPr>
      <w:r>
        <w:rPr>
          <w:rFonts w:cs="Times New Roman"/>
          <w:color w:val="000000" w:themeColor="text1"/>
          <w:szCs w:val="28"/>
        </w:rPr>
        <w:t xml:space="preserve">Đầu năm 2024, Đảng ủy phường đã ban hành </w:t>
      </w:r>
      <w:r>
        <w:rPr>
          <w:szCs w:val="28"/>
        </w:rPr>
        <w:t>Nghị quyết số 43-NQ/Đ.U ngày 24/01/2024 về xây dựng phường đạt tiêu chuẩn “An toàn về ANTT”, UBND phường Đại Nài đã ban hành</w:t>
      </w:r>
      <w:r>
        <w:rPr>
          <w:szCs w:val="28"/>
          <w:lang w:val="vi-VN"/>
        </w:rPr>
        <w:t xml:space="preserve"> Kế hoạch số </w:t>
      </w:r>
      <w:r>
        <w:rPr>
          <w:szCs w:val="28"/>
        </w:rPr>
        <w:t>17</w:t>
      </w:r>
      <w:r>
        <w:rPr>
          <w:szCs w:val="28"/>
          <w:lang w:val="vi-VN"/>
        </w:rPr>
        <w:t>/KH-UBND ngày 0</w:t>
      </w:r>
      <w:r>
        <w:rPr>
          <w:szCs w:val="28"/>
        </w:rPr>
        <w:t>1</w:t>
      </w:r>
      <w:r>
        <w:rPr>
          <w:szCs w:val="28"/>
          <w:lang w:val="vi-VN"/>
        </w:rPr>
        <w:t>/0</w:t>
      </w:r>
      <w:r>
        <w:rPr>
          <w:szCs w:val="28"/>
        </w:rPr>
        <w:t>2</w:t>
      </w:r>
      <w:r>
        <w:rPr>
          <w:szCs w:val="28"/>
          <w:lang w:val="vi-VN"/>
        </w:rPr>
        <w:t>/202</w:t>
      </w:r>
      <w:r>
        <w:rPr>
          <w:szCs w:val="28"/>
        </w:rPr>
        <w:t xml:space="preserve">4 </w:t>
      </w:r>
      <w:r>
        <w:rPr>
          <w:szCs w:val="28"/>
          <w:lang w:val="vi-VN"/>
        </w:rPr>
        <w:t>về xây dựng phường đạt tiêu chuẩn “An toàn về An ninh trật tự</w:t>
      </w:r>
      <w:r>
        <w:rPr>
          <w:rFonts w:cs="Times New Roman"/>
          <w:color w:val="000000" w:themeColor="text1"/>
          <w:szCs w:val="28"/>
        </w:rPr>
        <w:t xml:space="preserve"> năm 2024.</w:t>
      </w:r>
      <w:r>
        <w:rPr>
          <w:rFonts w:cs="Times New Roman"/>
          <w:color w:val="000000" w:themeColor="text1"/>
          <w:szCs w:val="28"/>
          <w:lang w:val="vi-VN"/>
        </w:rPr>
        <w:t xml:space="preserve"> </w:t>
      </w:r>
    </w:p>
    <w:p>
      <w:pPr>
        <w:tabs>
          <w:tab w:val="left" w:pos="567"/>
        </w:tabs>
        <w:ind w:firstLine="720"/>
        <w:jc w:val="both"/>
        <w:rPr>
          <w:rFonts w:cs="Times New Roman"/>
          <w:bCs/>
          <w:szCs w:val="28"/>
        </w:rPr>
      </w:pPr>
      <w:r>
        <w:rPr>
          <w:rFonts w:cs="Times New Roman"/>
          <w:color w:val="000000" w:themeColor="text1"/>
          <w:spacing w:val="3"/>
          <w:szCs w:val="28"/>
        </w:rPr>
        <w:t>Quý 1/2024 đã tổ chức lễ phát động đăng ký xây dựng phường, cơ quan, doanh nghiệp, cơ sở giáo dục điển hình về phong trào toàn dân bảo vệ ANTQ. Năm 2024 có 08/08 Tổ dân; 01/01 cơ sở giáo dục (</w:t>
      </w:r>
      <w:r>
        <w:rPr>
          <w:rFonts w:cs="Times New Roman"/>
          <w:bCs/>
          <w:szCs w:val="28"/>
        </w:rPr>
        <w:t>Trường THCS Đại Nài); 01/01 cơ quan đơn vị (UBND phường Đại Nài) đăng ký xây dựng đơn vị đạt tiêu chuẩn an toàn về ANTT, đạt tỷ lệ 100%.</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 xml:space="preserve">10. Lực lượng Công an phường: </w:t>
      </w:r>
    </w:p>
    <w:p>
      <w:pPr>
        <w:ind w:firstLine="720"/>
        <w:jc w:val="both"/>
        <w:rPr>
          <w:rFonts w:cs="Times New Roman"/>
          <w:bCs/>
          <w:color w:val="000000" w:themeColor="text1"/>
          <w:szCs w:val="28"/>
          <w:shd w:val="clear" w:color="auto" w:fill="FFFFFF"/>
        </w:rPr>
      </w:pPr>
      <w:r>
        <w:rPr>
          <w:rFonts w:cs="Times New Roman"/>
          <w:color w:val="000000" w:themeColor="text1"/>
          <w:szCs w:val="28"/>
          <w:lang w:eastAsia="vi-VN"/>
        </w:rPr>
        <w:t xml:space="preserve">Năm 2024, Công an phường đã </w:t>
      </w:r>
      <w:r>
        <w:rPr>
          <w:rFonts w:cs="Times New Roman"/>
          <w:bCs/>
          <w:color w:val="000000" w:themeColor="text1"/>
          <w:szCs w:val="28"/>
          <w:shd w:val="clear" w:color="auto" w:fill="FFFFFF"/>
        </w:rPr>
        <w:t xml:space="preserve">tham mưu cấp ủy, chính quyền địa phương, Ban chỉ đạo 138 ban hành 04 Nghị quyết, 01 chương trình công tác, 01 </w:t>
      </w:r>
      <w:r>
        <w:rPr>
          <w:rFonts w:cs="Times New Roman"/>
          <w:bCs/>
          <w:color w:val="000000" w:themeColor="text1"/>
          <w:szCs w:val="28"/>
          <w:shd w:val="clear" w:color="auto" w:fill="FFFFFF"/>
        </w:rPr>
        <w:lastRenderedPageBreak/>
        <w:t>phương án, 13 kế hoạch, 08 quyết định, 02 công văn chỉ đạo liên quan đến công tác xây dựng phong trào toàn dân bảo vệ ANTQ, công tác PCCC, tuyên truyền phổ biến quy định pháp luật, công tác PCCC, thực hiện Đề án 06, củng cố và nhân rộng 08 mô hình về ANTT, thành lập mới 03 mô hình “Cổng trường ATGT” tại 03 trường học trên địa bàn phường Đại Nài.</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III. Phân loại phong trào toàn dân bảo vệ ANTQ</w:t>
      </w:r>
    </w:p>
    <w:p>
      <w:pPr>
        <w:pStyle w:val="NormalWeb"/>
        <w:spacing w:before="0" w:beforeAutospacing="0" w:after="0" w:afterAutospacing="0"/>
        <w:ind w:firstLine="720"/>
        <w:jc w:val="both"/>
        <w:rPr>
          <w:b/>
          <w:color w:val="000000" w:themeColor="text1"/>
          <w:sz w:val="28"/>
          <w:szCs w:val="28"/>
        </w:rPr>
      </w:pPr>
      <w:r>
        <w:rPr>
          <w:b/>
          <w:color w:val="000000" w:themeColor="text1"/>
          <w:sz w:val="28"/>
          <w:szCs w:val="28"/>
        </w:rPr>
        <w:t>1. Phân loại đối với khu dân cư, cơ quan, doanh nghiệp, cơ sở giáo dục thuộc thẩm quyền quản lý</w:t>
      </w:r>
    </w:p>
    <w:p>
      <w:pPr>
        <w:pStyle w:val="NormalWeb"/>
        <w:spacing w:before="0" w:beforeAutospacing="0" w:after="0" w:afterAutospacing="0"/>
        <w:jc w:val="both"/>
        <w:rPr>
          <w:color w:val="000000" w:themeColor="text1"/>
          <w:sz w:val="28"/>
          <w:szCs w:val="28"/>
        </w:rPr>
      </w:pPr>
      <w:r>
        <w:rPr>
          <w:b/>
          <w:color w:val="000000" w:themeColor="text1"/>
          <w:sz w:val="28"/>
          <w:szCs w:val="28"/>
        </w:rPr>
        <w:tab/>
      </w:r>
    </w:p>
    <w:tbl>
      <w:tblPr>
        <w:tblStyle w:val="TableGrid"/>
        <w:tblW w:w="9493" w:type="dxa"/>
        <w:tblLayout w:type="fixed"/>
        <w:tblLook w:val="04A0" w:firstRow="1" w:lastRow="0" w:firstColumn="1" w:lastColumn="0" w:noHBand="0" w:noVBand="1"/>
      </w:tblPr>
      <w:tblGrid>
        <w:gridCol w:w="846"/>
        <w:gridCol w:w="1105"/>
        <w:gridCol w:w="1134"/>
        <w:gridCol w:w="1276"/>
        <w:gridCol w:w="5132"/>
      </w:tblGrid>
      <w:tr>
        <w:tc>
          <w:tcPr>
            <w:tcW w:w="846" w:type="dxa"/>
            <w:vAlign w:val="center"/>
          </w:tcPr>
          <w:p>
            <w:pPr>
              <w:jc w:val="both"/>
              <w:rPr>
                <w:rFonts w:cs="Times New Roman"/>
                <w:color w:val="000000" w:themeColor="text1"/>
                <w:szCs w:val="28"/>
              </w:rPr>
            </w:pPr>
            <w:r>
              <w:rPr>
                <w:rFonts w:cs="Times New Roman"/>
                <w:color w:val="000000" w:themeColor="text1"/>
                <w:szCs w:val="28"/>
              </w:rPr>
              <w:t>STT</w:t>
            </w:r>
          </w:p>
        </w:tc>
        <w:tc>
          <w:tcPr>
            <w:tcW w:w="1105" w:type="dxa"/>
            <w:vAlign w:val="center"/>
          </w:tcPr>
          <w:p>
            <w:pPr>
              <w:jc w:val="both"/>
              <w:rPr>
                <w:rFonts w:cs="Times New Roman"/>
                <w:color w:val="000000" w:themeColor="text1"/>
                <w:szCs w:val="28"/>
              </w:rPr>
            </w:pPr>
            <w:r>
              <w:rPr>
                <w:rFonts w:cs="Times New Roman"/>
                <w:color w:val="000000" w:themeColor="text1"/>
                <w:szCs w:val="28"/>
              </w:rPr>
              <w:t>Khu dân cư</w:t>
            </w:r>
          </w:p>
        </w:tc>
        <w:tc>
          <w:tcPr>
            <w:tcW w:w="1134" w:type="dxa"/>
            <w:vAlign w:val="center"/>
          </w:tcPr>
          <w:p>
            <w:pPr>
              <w:jc w:val="both"/>
              <w:rPr>
                <w:rFonts w:cs="Times New Roman"/>
                <w:color w:val="000000" w:themeColor="text1"/>
                <w:szCs w:val="28"/>
              </w:rPr>
            </w:pPr>
            <w:r>
              <w:rPr>
                <w:rFonts w:cs="Times New Roman"/>
                <w:color w:val="000000" w:themeColor="text1"/>
                <w:szCs w:val="28"/>
              </w:rPr>
              <w:t>Số điểm</w:t>
            </w:r>
          </w:p>
          <w:p>
            <w:pPr>
              <w:jc w:val="both"/>
              <w:rPr>
                <w:rFonts w:cs="Times New Roman"/>
                <w:i/>
                <w:color w:val="000000" w:themeColor="text1"/>
                <w:szCs w:val="28"/>
              </w:rPr>
            </w:pPr>
            <w:r>
              <w:rPr>
                <w:rFonts w:cs="Times New Roman"/>
                <w:i/>
                <w:color w:val="000000" w:themeColor="text1"/>
                <w:szCs w:val="28"/>
              </w:rPr>
              <w:t>(tự chấm)</w:t>
            </w:r>
          </w:p>
        </w:tc>
        <w:tc>
          <w:tcPr>
            <w:tcW w:w="1276" w:type="dxa"/>
            <w:vAlign w:val="center"/>
          </w:tcPr>
          <w:p>
            <w:pPr>
              <w:jc w:val="both"/>
              <w:rPr>
                <w:rFonts w:cs="Times New Roman"/>
                <w:color w:val="000000" w:themeColor="text1"/>
                <w:szCs w:val="28"/>
              </w:rPr>
            </w:pPr>
            <w:r>
              <w:rPr>
                <w:rFonts w:cs="Times New Roman"/>
                <w:color w:val="000000" w:themeColor="text1"/>
                <w:szCs w:val="28"/>
              </w:rPr>
              <w:t>Số điểm</w:t>
            </w:r>
          </w:p>
          <w:p>
            <w:pPr>
              <w:jc w:val="both"/>
              <w:rPr>
                <w:rFonts w:cs="Times New Roman"/>
                <w:i/>
                <w:color w:val="000000" w:themeColor="text1"/>
                <w:szCs w:val="28"/>
              </w:rPr>
            </w:pPr>
            <w:r>
              <w:rPr>
                <w:rFonts w:cs="Times New Roman"/>
                <w:i/>
                <w:color w:val="000000" w:themeColor="text1"/>
                <w:szCs w:val="28"/>
              </w:rPr>
              <w:t>(Phường/xã chấm)</w:t>
            </w:r>
          </w:p>
        </w:tc>
        <w:tc>
          <w:tcPr>
            <w:tcW w:w="5132" w:type="dxa"/>
            <w:vAlign w:val="center"/>
          </w:tcPr>
          <w:p>
            <w:pPr>
              <w:jc w:val="both"/>
              <w:rPr>
                <w:rFonts w:cs="Times New Roman"/>
                <w:color w:val="000000" w:themeColor="text1"/>
                <w:szCs w:val="28"/>
              </w:rPr>
            </w:pPr>
            <w:r>
              <w:rPr>
                <w:rFonts w:cs="Times New Roman"/>
                <w:color w:val="000000" w:themeColor="text1"/>
                <w:szCs w:val="28"/>
              </w:rPr>
              <w:t>Đánh giá, phân loại</w:t>
            </w:r>
          </w:p>
          <w:p>
            <w:pPr>
              <w:jc w:val="both"/>
              <w:rPr>
                <w:rFonts w:cs="Times New Roman"/>
                <w:color w:val="000000" w:themeColor="text1"/>
                <w:szCs w:val="28"/>
              </w:rPr>
            </w:pPr>
            <w:r>
              <w:rPr>
                <w:rFonts w:cs="Times New Roman"/>
                <w:i/>
                <w:color w:val="000000" w:themeColor="text1"/>
                <w:szCs w:val="28"/>
              </w:rPr>
              <w:t>(Phường/xã đánh giá)</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1</w:t>
            </w:r>
          </w:p>
        </w:tc>
        <w:tc>
          <w:tcPr>
            <w:tcW w:w="1105" w:type="dxa"/>
          </w:tcPr>
          <w:p>
            <w:pPr>
              <w:jc w:val="both"/>
              <w:rPr>
                <w:rFonts w:cs="Times New Roman"/>
                <w:i/>
                <w:color w:val="000000" w:themeColor="text1"/>
                <w:szCs w:val="28"/>
                <w:lang w:val="vi-VN"/>
              </w:rPr>
            </w:pPr>
            <w:r>
              <w:rPr>
                <w:rFonts w:cs="Times New Roman"/>
                <w:i/>
                <w:color w:val="000000" w:themeColor="text1"/>
                <w:szCs w:val="28"/>
                <w:lang w:val="vi-VN"/>
              </w:rPr>
              <w:t>TDP 2</w:t>
            </w:r>
          </w:p>
        </w:tc>
        <w:tc>
          <w:tcPr>
            <w:tcW w:w="1134" w:type="dxa"/>
          </w:tcPr>
          <w:p>
            <w:pPr>
              <w:jc w:val="both"/>
              <w:rPr>
                <w:rFonts w:cs="Times New Roman"/>
                <w:i/>
                <w:color w:val="000000" w:themeColor="text1"/>
                <w:szCs w:val="28"/>
              </w:rPr>
            </w:pPr>
            <w:r>
              <w:rPr>
                <w:rFonts w:cs="Times New Roman"/>
                <w:iCs/>
                <w:color w:val="000000" w:themeColor="text1"/>
                <w:szCs w:val="28"/>
              </w:rPr>
              <w:t>99</w:t>
            </w:r>
          </w:p>
        </w:tc>
        <w:tc>
          <w:tcPr>
            <w:tcW w:w="1276" w:type="dxa"/>
          </w:tcPr>
          <w:p>
            <w:pPr>
              <w:jc w:val="both"/>
              <w:rPr>
                <w:rFonts w:cs="Times New Roman"/>
                <w:i/>
                <w:color w:val="000000" w:themeColor="text1"/>
                <w:szCs w:val="28"/>
              </w:rPr>
            </w:pPr>
            <w:r>
              <w:rPr>
                <w:rFonts w:cs="Times New Roman"/>
                <w:iCs/>
                <w:color w:val="000000" w:themeColor="text1"/>
                <w:szCs w:val="28"/>
              </w:rPr>
              <w:t>90</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2</w:t>
            </w:r>
          </w:p>
        </w:tc>
        <w:tc>
          <w:tcPr>
            <w:tcW w:w="1105" w:type="dxa"/>
          </w:tcPr>
          <w:p>
            <w:pPr>
              <w:jc w:val="both"/>
              <w:rPr>
                <w:rFonts w:cs="Times New Roman"/>
                <w:i/>
                <w:color w:val="000000" w:themeColor="text1"/>
                <w:szCs w:val="28"/>
              </w:rPr>
            </w:pPr>
            <w:r>
              <w:rPr>
                <w:rFonts w:cs="Times New Roman"/>
                <w:i/>
                <w:color w:val="000000" w:themeColor="text1"/>
                <w:szCs w:val="28"/>
                <w:lang w:val="vi-VN"/>
              </w:rPr>
              <w:t>TDP 3</w:t>
            </w:r>
          </w:p>
        </w:tc>
        <w:tc>
          <w:tcPr>
            <w:tcW w:w="1134" w:type="dxa"/>
          </w:tcPr>
          <w:p>
            <w:pPr>
              <w:jc w:val="both"/>
              <w:rPr>
                <w:rFonts w:cs="Times New Roman"/>
                <w:i/>
                <w:color w:val="000000" w:themeColor="text1"/>
                <w:szCs w:val="28"/>
              </w:rPr>
            </w:pPr>
            <w:r>
              <w:rPr>
                <w:rFonts w:cs="Times New Roman"/>
                <w:iCs/>
                <w:color w:val="000000" w:themeColor="text1"/>
                <w:szCs w:val="28"/>
              </w:rPr>
              <w:t>99</w:t>
            </w:r>
          </w:p>
        </w:tc>
        <w:tc>
          <w:tcPr>
            <w:tcW w:w="1276" w:type="dxa"/>
          </w:tcPr>
          <w:p>
            <w:pPr>
              <w:jc w:val="both"/>
              <w:rPr>
                <w:rFonts w:cs="Times New Roman"/>
                <w:i/>
                <w:color w:val="000000" w:themeColor="text1"/>
                <w:szCs w:val="28"/>
              </w:rPr>
            </w:pPr>
            <w:r>
              <w:rPr>
                <w:rFonts w:cs="Times New Roman"/>
                <w:iCs/>
                <w:szCs w:val="28"/>
              </w:rPr>
              <w:t>98</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3</w:t>
            </w:r>
          </w:p>
        </w:tc>
        <w:tc>
          <w:tcPr>
            <w:tcW w:w="1105" w:type="dxa"/>
          </w:tcPr>
          <w:p>
            <w:pPr>
              <w:jc w:val="both"/>
              <w:rPr>
                <w:rFonts w:cs="Times New Roman"/>
                <w:i/>
                <w:color w:val="000000" w:themeColor="text1"/>
                <w:szCs w:val="28"/>
              </w:rPr>
            </w:pPr>
            <w:r>
              <w:rPr>
                <w:rFonts w:cs="Times New Roman"/>
                <w:i/>
                <w:color w:val="000000" w:themeColor="text1"/>
                <w:szCs w:val="28"/>
                <w:lang w:val="vi-VN"/>
              </w:rPr>
              <w:t xml:space="preserve">TDP 4 </w:t>
            </w:r>
          </w:p>
        </w:tc>
        <w:tc>
          <w:tcPr>
            <w:tcW w:w="1134" w:type="dxa"/>
          </w:tcPr>
          <w:p>
            <w:pPr>
              <w:jc w:val="both"/>
              <w:rPr>
                <w:rFonts w:cs="Times New Roman"/>
                <w:i/>
                <w:color w:val="000000" w:themeColor="text1"/>
                <w:szCs w:val="28"/>
              </w:rPr>
            </w:pPr>
            <w:r>
              <w:rPr>
                <w:rFonts w:cs="Times New Roman"/>
                <w:iCs/>
                <w:color w:val="000000" w:themeColor="text1"/>
                <w:szCs w:val="28"/>
              </w:rPr>
              <w:t>99</w:t>
            </w:r>
          </w:p>
        </w:tc>
        <w:tc>
          <w:tcPr>
            <w:tcW w:w="1276" w:type="dxa"/>
          </w:tcPr>
          <w:p>
            <w:pPr>
              <w:jc w:val="both"/>
              <w:rPr>
                <w:rFonts w:cs="Times New Roman"/>
                <w:i/>
                <w:color w:val="000000" w:themeColor="text1"/>
                <w:szCs w:val="28"/>
              </w:rPr>
            </w:pPr>
            <w:r>
              <w:rPr>
                <w:rFonts w:cs="Times New Roman"/>
                <w:iCs/>
                <w:color w:val="000000" w:themeColor="text1"/>
                <w:szCs w:val="28"/>
              </w:rPr>
              <w:t>98</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4</w:t>
            </w:r>
          </w:p>
        </w:tc>
        <w:tc>
          <w:tcPr>
            <w:tcW w:w="1105" w:type="dxa"/>
          </w:tcPr>
          <w:p>
            <w:pPr>
              <w:jc w:val="both"/>
              <w:rPr>
                <w:rFonts w:cs="Times New Roman"/>
                <w:i/>
                <w:color w:val="000000" w:themeColor="text1"/>
                <w:szCs w:val="28"/>
              </w:rPr>
            </w:pPr>
            <w:r>
              <w:rPr>
                <w:rFonts w:cs="Times New Roman"/>
                <w:i/>
                <w:color w:val="000000" w:themeColor="text1"/>
                <w:szCs w:val="28"/>
                <w:lang w:val="vi-VN"/>
              </w:rPr>
              <w:t xml:space="preserve">TDP 5 </w:t>
            </w:r>
          </w:p>
        </w:tc>
        <w:tc>
          <w:tcPr>
            <w:tcW w:w="1134" w:type="dxa"/>
          </w:tcPr>
          <w:p>
            <w:pPr>
              <w:jc w:val="both"/>
              <w:rPr>
                <w:rFonts w:cs="Times New Roman"/>
                <w:i/>
                <w:color w:val="000000" w:themeColor="text1"/>
                <w:szCs w:val="28"/>
              </w:rPr>
            </w:pPr>
            <w:r>
              <w:rPr>
                <w:rFonts w:cs="Times New Roman"/>
                <w:iCs/>
                <w:color w:val="000000" w:themeColor="text1"/>
                <w:szCs w:val="28"/>
              </w:rPr>
              <w:t>90</w:t>
            </w:r>
          </w:p>
        </w:tc>
        <w:tc>
          <w:tcPr>
            <w:tcW w:w="1276" w:type="dxa"/>
          </w:tcPr>
          <w:p>
            <w:pPr>
              <w:jc w:val="both"/>
              <w:rPr>
                <w:rFonts w:cs="Times New Roman"/>
                <w:i/>
                <w:color w:val="000000" w:themeColor="text1"/>
                <w:szCs w:val="28"/>
              </w:rPr>
            </w:pPr>
            <w:r>
              <w:rPr>
                <w:rFonts w:cs="Times New Roman"/>
                <w:iCs/>
                <w:szCs w:val="28"/>
              </w:rPr>
              <w:t>92</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5</w:t>
            </w:r>
          </w:p>
        </w:tc>
        <w:tc>
          <w:tcPr>
            <w:tcW w:w="1105" w:type="dxa"/>
          </w:tcPr>
          <w:p>
            <w:pPr>
              <w:jc w:val="both"/>
              <w:rPr>
                <w:rFonts w:cs="Times New Roman"/>
                <w:i/>
                <w:color w:val="000000" w:themeColor="text1"/>
                <w:szCs w:val="28"/>
              </w:rPr>
            </w:pPr>
            <w:r>
              <w:rPr>
                <w:rFonts w:cs="Times New Roman"/>
                <w:i/>
                <w:color w:val="000000" w:themeColor="text1"/>
                <w:szCs w:val="28"/>
                <w:lang w:val="vi-VN"/>
              </w:rPr>
              <w:t>TDP 6</w:t>
            </w:r>
          </w:p>
        </w:tc>
        <w:tc>
          <w:tcPr>
            <w:tcW w:w="1134" w:type="dxa"/>
          </w:tcPr>
          <w:p>
            <w:pPr>
              <w:jc w:val="both"/>
              <w:rPr>
                <w:rFonts w:cs="Times New Roman"/>
                <w:i/>
                <w:color w:val="000000" w:themeColor="text1"/>
                <w:szCs w:val="28"/>
              </w:rPr>
            </w:pPr>
            <w:r>
              <w:rPr>
                <w:rFonts w:cs="Times New Roman"/>
                <w:iCs/>
                <w:color w:val="000000" w:themeColor="text1"/>
                <w:szCs w:val="28"/>
              </w:rPr>
              <w:t>95</w:t>
            </w:r>
          </w:p>
        </w:tc>
        <w:tc>
          <w:tcPr>
            <w:tcW w:w="1276" w:type="dxa"/>
          </w:tcPr>
          <w:p>
            <w:pPr>
              <w:jc w:val="both"/>
              <w:rPr>
                <w:rFonts w:cs="Times New Roman"/>
                <w:i/>
                <w:color w:val="000000" w:themeColor="text1"/>
                <w:szCs w:val="28"/>
              </w:rPr>
            </w:pPr>
            <w:r>
              <w:rPr>
                <w:rFonts w:cs="Times New Roman"/>
                <w:iCs/>
                <w:szCs w:val="28"/>
              </w:rPr>
              <w:t>95</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6</w:t>
            </w:r>
          </w:p>
        </w:tc>
        <w:tc>
          <w:tcPr>
            <w:tcW w:w="1105" w:type="dxa"/>
          </w:tcPr>
          <w:p>
            <w:pPr>
              <w:jc w:val="both"/>
              <w:rPr>
                <w:rFonts w:cs="Times New Roman"/>
                <w:i/>
                <w:color w:val="000000" w:themeColor="text1"/>
                <w:szCs w:val="28"/>
              </w:rPr>
            </w:pPr>
            <w:r>
              <w:rPr>
                <w:rFonts w:cs="Times New Roman"/>
                <w:i/>
                <w:color w:val="000000" w:themeColor="text1"/>
                <w:szCs w:val="28"/>
                <w:lang w:val="vi-VN"/>
              </w:rPr>
              <w:t xml:space="preserve">TDP 7 </w:t>
            </w:r>
          </w:p>
        </w:tc>
        <w:tc>
          <w:tcPr>
            <w:tcW w:w="1134" w:type="dxa"/>
          </w:tcPr>
          <w:p>
            <w:pPr>
              <w:jc w:val="both"/>
              <w:rPr>
                <w:rFonts w:cs="Times New Roman"/>
                <w:i/>
                <w:color w:val="000000" w:themeColor="text1"/>
                <w:szCs w:val="28"/>
              </w:rPr>
            </w:pPr>
            <w:r>
              <w:rPr>
                <w:rFonts w:cs="Times New Roman"/>
                <w:iCs/>
                <w:color w:val="000000" w:themeColor="text1"/>
                <w:szCs w:val="28"/>
              </w:rPr>
              <w:t>100</w:t>
            </w:r>
          </w:p>
        </w:tc>
        <w:tc>
          <w:tcPr>
            <w:tcW w:w="1276" w:type="dxa"/>
          </w:tcPr>
          <w:p>
            <w:pPr>
              <w:jc w:val="both"/>
              <w:rPr>
                <w:rFonts w:cs="Times New Roman"/>
                <w:i/>
                <w:color w:val="000000" w:themeColor="text1"/>
                <w:szCs w:val="28"/>
              </w:rPr>
            </w:pPr>
            <w:r>
              <w:rPr>
                <w:rFonts w:cs="Times New Roman"/>
                <w:iCs/>
                <w:szCs w:val="28"/>
              </w:rPr>
              <w:t>98</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rPr>
          <w:trHeight w:val="70"/>
        </w:trPr>
        <w:tc>
          <w:tcPr>
            <w:tcW w:w="846" w:type="dxa"/>
          </w:tcPr>
          <w:p>
            <w:pPr>
              <w:jc w:val="both"/>
              <w:rPr>
                <w:rFonts w:cs="Times New Roman"/>
                <w:i/>
                <w:color w:val="000000" w:themeColor="text1"/>
                <w:szCs w:val="28"/>
                <w:lang w:val="vi-VN"/>
              </w:rPr>
            </w:pPr>
            <w:r>
              <w:rPr>
                <w:rFonts w:cs="Times New Roman"/>
                <w:i/>
                <w:color w:val="000000" w:themeColor="text1"/>
                <w:szCs w:val="28"/>
                <w:lang w:val="vi-VN"/>
              </w:rPr>
              <w:t>7</w:t>
            </w:r>
          </w:p>
        </w:tc>
        <w:tc>
          <w:tcPr>
            <w:tcW w:w="1105" w:type="dxa"/>
          </w:tcPr>
          <w:p>
            <w:pPr>
              <w:jc w:val="both"/>
              <w:rPr>
                <w:rFonts w:cs="Times New Roman"/>
                <w:i/>
                <w:color w:val="000000" w:themeColor="text1"/>
                <w:szCs w:val="28"/>
              </w:rPr>
            </w:pPr>
            <w:r>
              <w:rPr>
                <w:rFonts w:cs="Times New Roman"/>
                <w:i/>
                <w:color w:val="000000" w:themeColor="text1"/>
                <w:szCs w:val="28"/>
                <w:lang w:val="vi-VN"/>
              </w:rPr>
              <w:t>TDP 8</w:t>
            </w:r>
          </w:p>
        </w:tc>
        <w:tc>
          <w:tcPr>
            <w:tcW w:w="1134" w:type="dxa"/>
          </w:tcPr>
          <w:p>
            <w:pPr>
              <w:jc w:val="both"/>
              <w:rPr>
                <w:rFonts w:cs="Times New Roman"/>
                <w:i/>
                <w:color w:val="000000" w:themeColor="text1"/>
                <w:szCs w:val="28"/>
              </w:rPr>
            </w:pPr>
            <w:r>
              <w:rPr>
                <w:rFonts w:cs="Times New Roman"/>
                <w:iCs/>
                <w:color w:val="000000" w:themeColor="text1"/>
                <w:szCs w:val="28"/>
              </w:rPr>
              <w:t>92</w:t>
            </w:r>
          </w:p>
        </w:tc>
        <w:tc>
          <w:tcPr>
            <w:tcW w:w="1276" w:type="dxa"/>
          </w:tcPr>
          <w:p>
            <w:pPr>
              <w:jc w:val="both"/>
              <w:rPr>
                <w:rFonts w:cs="Times New Roman"/>
                <w:i/>
                <w:color w:val="000000" w:themeColor="text1"/>
                <w:szCs w:val="28"/>
              </w:rPr>
            </w:pPr>
            <w:r>
              <w:rPr>
                <w:rFonts w:cs="Times New Roman"/>
                <w:iCs/>
                <w:szCs w:val="28"/>
              </w:rPr>
              <w:t>94</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r>
        <w:tc>
          <w:tcPr>
            <w:tcW w:w="846" w:type="dxa"/>
          </w:tcPr>
          <w:p>
            <w:pPr>
              <w:jc w:val="both"/>
              <w:rPr>
                <w:rFonts w:cs="Times New Roman"/>
                <w:i/>
                <w:color w:val="000000" w:themeColor="text1"/>
                <w:szCs w:val="28"/>
                <w:lang w:val="vi-VN"/>
              </w:rPr>
            </w:pPr>
            <w:r>
              <w:rPr>
                <w:rFonts w:cs="Times New Roman"/>
                <w:i/>
                <w:color w:val="000000" w:themeColor="text1"/>
                <w:szCs w:val="28"/>
                <w:lang w:val="vi-VN"/>
              </w:rPr>
              <w:t>8</w:t>
            </w:r>
          </w:p>
        </w:tc>
        <w:tc>
          <w:tcPr>
            <w:tcW w:w="1105" w:type="dxa"/>
          </w:tcPr>
          <w:p>
            <w:pPr>
              <w:jc w:val="both"/>
              <w:rPr>
                <w:rFonts w:cs="Times New Roman"/>
                <w:i/>
                <w:color w:val="000000" w:themeColor="text1"/>
                <w:szCs w:val="28"/>
              </w:rPr>
            </w:pPr>
            <w:r>
              <w:rPr>
                <w:rFonts w:cs="Times New Roman"/>
                <w:i/>
                <w:color w:val="000000" w:themeColor="text1"/>
                <w:szCs w:val="28"/>
                <w:lang w:val="vi-VN"/>
              </w:rPr>
              <w:t>TDP 10</w:t>
            </w:r>
          </w:p>
        </w:tc>
        <w:tc>
          <w:tcPr>
            <w:tcW w:w="1134" w:type="dxa"/>
          </w:tcPr>
          <w:p>
            <w:pPr>
              <w:jc w:val="both"/>
              <w:rPr>
                <w:rFonts w:cs="Times New Roman"/>
                <w:i/>
                <w:color w:val="000000" w:themeColor="text1"/>
                <w:szCs w:val="28"/>
              </w:rPr>
            </w:pPr>
            <w:r>
              <w:rPr>
                <w:rFonts w:cs="Times New Roman"/>
                <w:iCs/>
                <w:color w:val="000000" w:themeColor="text1"/>
                <w:szCs w:val="28"/>
              </w:rPr>
              <w:t>95</w:t>
            </w:r>
          </w:p>
        </w:tc>
        <w:tc>
          <w:tcPr>
            <w:tcW w:w="1276" w:type="dxa"/>
          </w:tcPr>
          <w:p>
            <w:pPr>
              <w:jc w:val="both"/>
              <w:rPr>
                <w:rFonts w:cs="Times New Roman"/>
                <w:i/>
                <w:color w:val="000000" w:themeColor="text1"/>
                <w:szCs w:val="28"/>
              </w:rPr>
            </w:pPr>
            <w:r>
              <w:rPr>
                <w:rFonts w:cs="Times New Roman"/>
                <w:iCs/>
                <w:szCs w:val="28"/>
              </w:rPr>
              <w:t>95</w:t>
            </w:r>
          </w:p>
        </w:tc>
        <w:tc>
          <w:tcPr>
            <w:tcW w:w="5132" w:type="dxa"/>
          </w:tcPr>
          <w:p>
            <w:pPr>
              <w:jc w:val="both"/>
              <w:rPr>
                <w:rFonts w:cs="Times New Roman"/>
                <w:i/>
                <w:color w:val="000000" w:themeColor="text1"/>
                <w:szCs w:val="28"/>
              </w:rPr>
            </w:pPr>
            <w:r>
              <w:rPr>
                <w:rFonts w:cs="Times New Roman"/>
                <w:i/>
                <w:color w:val="000000" w:themeColor="text1"/>
                <w:szCs w:val="28"/>
              </w:rPr>
              <w:t>Xuất sắc</w:t>
            </w:r>
          </w:p>
        </w:tc>
      </w:tr>
    </w:tbl>
    <w:p>
      <w:pPr>
        <w:pStyle w:val="NormalWeb"/>
        <w:spacing w:before="0" w:beforeAutospacing="0" w:after="0" w:afterAutospacing="0"/>
        <w:jc w:val="both"/>
        <w:rPr>
          <w:color w:val="000000" w:themeColor="text1"/>
          <w:sz w:val="28"/>
          <w:szCs w:val="28"/>
        </w:rPr>
      </w:pPr>
    </w:p>
    <w:p>
      <w:pPr>
        <w:pStyle w:val="NormalWeb"/>
        <w:spacing w:before="0" w:beforeAutospacing="0" w:after="0" w:afterAutospacing="0"/>
        <w:ind w:left="720"/>
        <w:jc w:val="both"/>
        <w:rPr>
          <w:b/>
          <w:color w:val="000000" w:themeColor="text1"/>
          <w:sz w:val="28"/>
          <w:szCs w:val="28"/>
        </w:rPr>
      </w:pPr>
      <w:r>
        <w:rPr>
          <w:b/>
          <w:color w:val="000000" w:themeColor="text1"/>
          <w:sz w:val="28"/>
          <w:szCs w:val="28"/>
        </w:rPr>
        <w:t>2. Đề xuất mức phân loại của phường</w:t>
      </w:r>
    </w:p>
    <w:p>
      <w:pPr>
        <w:pStyle w:val="NormalWeb"/>
        <w:spacing w:before="0" w:beforeAutospacing="0" w:after="0" w:afterAutospacing="0"/>
        <w:ind w:firstLine="720"/>
        <w:jc w:val="both"/>
        <w:rPr>
          <w:color w:val="000000" w:themeColor="text1"/>
          <w:sz w:val="28"/>
          <w:szCs w:val="28"/>
        </w:rPr>
      </w:pPr>
      <w:r>
        <w:rPr>
          <w:color w:val="000000" w:themeColor="text1"/>
          <w:sz w:val="28"/>
          <w:szCs w:val="28"/>
        </w:rPr>
        <w:t xml:space="preserve">Căn cứ kết quả đạt được trong năm 2024 về công tác xây dựng phong trào toàn dân bảo vệ ANTQ của cán bộ và nhân dân phường Đại Nài, BCĐ 138 phường Đại Nài tự nhận mức phân loại </w:t>
      </w:r>
      <w:r>
        <w:rPr>
          <w:b/>
          <w:i/>
          <w:color w:val="000000" w:themeColor="text1"/>
          <w:sz w:val="28"/>
          <w:szCs w:val="28"/>
        </w:rPr>
        <w:t>Xuất sắc</w:t>
      </w:r>
      <w:r>
        <w:rPr>
          <w:i/>
          <w:color w:val="000000" w:themeColor="text1"/>
          <w:sz w:val="28"/>
          <w:szCs w:val="28"/>
        </w:rPr>
        <w:t xml:space="preserve"> </w:t>
      </w:r>
      <w:r>
        <w:rPr>
          <w:color w:val="000000" w:themeColor="text1"/>
          <w:sz w:val="28"/>
          <w:szCs w:val="28"/>
        </w:rPr>
        <w:t>về phong trào toàn dân bảo vệ ANTQ theo QĐ 510/QĐ- BCA-V05 ngày 20/01/2024 của Bộ Công an.</w:t>
      </w:r>
    </w:p>
    <w:p>
      <w:pPr>
        <w:pStyle w:val="NormalWeb"/>
        <w:spacing w:before="0" w:beforeAutospacing="0" w:after="0" w:afterAutospacing="0"/>
        <w:ind w:firstLine="720"/>
        <w:jc w:val="both"/>
        <w:rPr>
          <w:color w:val="000000" w:themeColor="text1"/>
          <w:sz w:val="28"/>
          <w:szCs w:val="28"/>
        </w:rPr>
      </w:pPr>
      <w:r>
        <w:rPr>
          <w:color w:val="000000" w:themeColor="text1"/>
          <w:sz w:val="28"/>
          <w:szCs w:val="28"/>
        </w:rPr>
        <w:t>Kính đề nghị BCĐ 138 thành phố xem xét, quyết định phân loại trong phong trào toàn dân bảo vệ an ninh Tổ quốc năm 2024./.</w:t>
      </w:r>
    </w:p>
    <w:p>
      <w:pPr>
        <w:pStyle w:val="NormalWeb"/>
        <w:spacing w:before="0" w:beforeAutospacing="0" w:after="0" w:afterAutospacing="0" w:line="276" w:lineRule="auto"/>
        <w:ind w:firstLine="720"/>
        <w:jc w:val="both"/>
        <w:rPr>
          <w:color w:val="000000" w:themeColor="text1"/>
          <w:spacing w:val="4"/>
          <w:sz w:val="18"/>
          <w:szCs w:val="28"/>
        </w:rPr>
      </w:pPr>
    </w:p>
    <w:tbl>
      <w:tblPr>
        <w:tblW w:w="9297" w:type="dxa"/>
        <w:tblLook w:val="01E0" w:firstRow="1" w:lastRow="1" w:firstColumn="1" w:lastColumn="1" w:noHBand="0" w:noVBand="0"/>
      </w:tblPr>
      <w:tblGrid>
        <w:gridCol w:w="4253"/>
        <w:gridCol w:w="5044"/>
      </w:tblGrid>
      <w:tr>
        <w:tc>
          <w:tcPr>
            <w:tcW w:w="4253" w:type="dxa"/>
          </w:tcPr>
          <w:p>
            <w:pPr>
              <w:pStyle w:val="NormalWeb"/>
              <w:spacing w:before="0" w:beforeAutospacing="0" w:after="0" w:afterAutospacing="0"/>
              <w:jc w:val="both"/>
              <w:rPr>
                <w:b/>
                <w:i/>
                <w:color w:val="000000" w:themeColor="text1"/>
                <w:szCs w:val="28"/>
              </w:rPr>
            </w:pPr>
            <w:r>
              <w:rPr>
                <w:b/>
                <w:i/>
                <w:color w:val="000000" w:themeColor="text1"/>
                <w:szCs w:val="28"/>
              </w:rPr>
              <w:t>Nơi nhận:</w:t>
            </w:r>
          </w:p>
          <w:p>
            <w:pPr>
              <w:spacing w:after="0" w:line="240" w:lineRule="auto"/>
              <w:jc w:val="both"/>
              <w:rPr>
                <w:color w:val="000000" w:themeColor="text1"/>
                <w:sz w:val="22"/>
              </w:rPr>
            </w:pPr>
            <w:r>
              <w:rPr>
                <w:color w:val="000000" w:themeColor="text1"/>
                <w:sz w:val="22"/>
              </w:rPr>
              <w:t xml:space="preserve">- Như trên;                                                                                </w:t>
            </w:r>
            <w:r>
              <w:rPr>
                <w:b/>
                <w:color w:val="000000" w:themeColor="text1"/>
                <w:sz w:val="22"/>
              </w:rPr>
              <w:t xml:space="preserve">   </w:t>
            </w:r>
          </w:p>
          <w:p>
            <w:pPr>
              <w:spacing w:after="0" w:line="240" w:lineRule="auto"/>
              <w:jc w:val="both"/>
              <w:rPr>
                <w:color w:val="000000" w:themeColor="text1"/>
                <w:sz w:val="22"/>
              </w:rPr>
            </w:pPr>
            <w:r>
              <w:rPr>
                <w:color w:val="000000" w:themeColor="text1"/>
                <w:sz w:val="22"/>
              </w:rPr>
              <w:t>- TT Đảng ủy, HĐND phường;</w:t>
            </w:r>
          </w:p>
          <w:p>
            <w:pPr>
              <w:spacing w:after="0" w:line="240" w:lineRule="auto"/>
              <w:jc w:val="both"/>
              <w:rPr>
                <w:color w:val="000000" w:themeColor="text1"/>
                <w:sz w:val="22"/>
              </w:rPr>
            </w:pPr>
            <w:r>
              <w:rPr>
                <w:color w:val="000000" w:themeColor="text1"/>
                <w:sz w:val="22"/>
              </w:rPr>
              <w:t>- Lãnh đạo UBND;</w:t>
            </w:r>
          </w:p>
          <w:p>
            <w:pPr>
              <w:spacing w:after="0" w:line="240" w:lineRule="auto"/>
              <w:jc w:val="both"/>
              <w:rPr>
                <w:color w:val="000000" w:themeColor="text1"/>
                <w:sz w:val="22"/>
              </w:rPr>
            </w:pPr>
            <w:r>
              <w:rPr>
                <w:color w:val="000000" w:themeColor="text1"/>
                <w:sz w:val="22"/>
              </w:rPr>
              <w:t>- TT UBMTTQ</w:t>
            </w:r>
            <w:bookmarkStart w:id="0" w:name="_GoBack"/>
            <w:bookmarkEnd w:id="0"/>
            <w:r>
              <w:rPr>
                <w:color w:val="000000" w:themeColor="text1"/>
                <w:sz w:val="22"/>
              </w:rPr>
              <w:t>;</w:t>
            </w:r>
          </w:p>
          <w:p>
            <w:pPr>
              <w:spacing w:after="0" w:line="240" w:lineRule="auto"/>
              <w:jc w:val="both"/>
              <w:rPr>
                <w:color w:val="000000" w:themeColor="text1"/>
                <w:sz w:val="22"/>
              </w:rPr>
            </w:pPr>
            <w:r>
              <w:rPr>
                <w:color w:val="000000" w:themeColor="text1"/>
                <w:sz w:val="22"/>
              </w:rPr>
              <w:t>- Lưu: VP, CA.</w:t>
            </w:r>
          </w:p>
          <w:p>
            <w:pPr>
              <w:pStyle w:val="NormalWeb"/>
              <w:spacing w:before="0" w:beforeAutospacing="0" w:after="0" w:afterAutospacing="0"/>
              <w:jc w:val="both"/>
              <w:rPr>
                <w:color w:val="000000" w:themeColor="text1"/>
                <w:sz w:val="28"/>
                <w:szCs w:val="28"/>
              </w:rPr>
            </w:pPr>
          </w:p>
        </w:tc>
        <w:tc>
          <w:tcPr>
            <w:tcW w:w="5044" w:type="dxa"/>
          </w:tcPr>
          <w:p>
            <w:pPr>
              <w:spacing w:after="0"/>
              <w:jc w:val="center"/>
              <w:rPr>
                <w:rFonts w:cs="Times New Roman"/>
                <w:color w:val="000000" w:themeColor="text1"/>
                <w:szCs w:val="28"/>
              </w:rPr>
            </w:pPr>
            <w:r>
              <w:rPr>
                <w:rFonts w:cs="Times New Roman"/>
                <w:b/>
                <w:color w:val="000000" w:themeColor="text1"/>
                <w:szCs w:val="28"/>
              </w:rPr>
              <w:t>TM. BCĐ 138 PHƯỜNG ĐẠI NÀI</w:t>
            </w:r>
          </w:p>
          <w:p>
            <w:pPr>
              <w:spacing w:after="0" w:line="240" w:lineRule="auto"/>
              <w:jc w:val="center"/>
              <w:rPr>
                <w:rFonts w:cs="Times New Roman"/>
                <w:b/>
                <w:color w:val="000000" w:themeColor="text1"/>
                <w:szCs w:val="28"/>
              </w:rPr>
            </w:pPr>
            <w:r>
              <w:rPr>
                <w:rFonts w:cs="Times New Roman"/>
                <w:b/>
                <w:color w:val="000000" w:themeColor="text1"/>
                <w:szCs w:val="28"/>
              </w:rPr>
              <w:t>TRƯỞNG BAN</w:t>
            </w:r>
          </w:p>
          <w:p>
            <w:pPr>
              <w:spacing w:after="0" w:line="240" w:lineRule="auto"/>
              <w:jc w:val="center"/>
              <w:rPr>
                <w:rFonts w:cs="Times New Roman"/>
                <w:b/>
                <w:color w:val="000000" w:themeColor="text1"/>
                <w:szCs w:val="28"/>
              </w:rPr>
            </w:pPr>
          </w:p>
          <w:p>
            <w:pPr>
              <w:spacing w:after="0" w:line="240" w:lineRule="auto"/>
              <w:jc w:val="center"/>
              <w:rPr>
                <w:rFonts w:cs="Times New Roman"/>
                <w:b/>
                <w:color w:val="000000" w:themeColor="text1"/>
                <w:szCs w:val="28"/>
              </w:rPr>
            </w:pPr>
          </w:p>
          <w:p>
            <w:pPr>
              <w:spacing w:after="0" w:line="240" w:lineRule="auto"/>
              <w:jc w:val="center"/>
              <w:rPr>
                <w:rFonts w:cs="Times New Roman"/>
                <w:b/>
                <w:color w:val="000000" w:themeColor="text1"/>
                <w:szCs w:val="28"/>
              </w:rPr>
            </w:pPr>
          </w:p>
          <w:p>
            <w:pPr>
              <w:spacing w:after="0" w:line="240" w:lineRule="auto"/>
              <w:jc w:val="center"/>
              <w:rPr>
                <w:rFonts w:cs="Times New Roman"/>
                <w:b/>
                <w:color w:val="000000" w:themeColor="text1"/>
                <w:szCs w:val="28"/>
              </w:rPr>
            </w:pPr>
          </w:p>
          <w:p>
            <w:pPr>
              <w:spacing w:after="0" w:line="240" w:lineRule="auto"/>
              <w:jc w:val="center"/>
              <w:rPr>
                <w:rFonts w:cs="Times New Roman"/>
                <w:b/>
                <w:color w:val="000000" w:themeColor="text1"/>
                <w:szCs w:val="28"/>
              </w:rPr>
            </w:pPr>
          </w:p>
          <w:p>
            <w:pPr>
              <w:spacing w:after="0" w:line="240" w:lineRule="auto"/>
              <w:jc w:val="center"/>
              <w:rPr>
                <w:rFonts w:cs="Times New Roman"/>
                <w:b/>
                <w:color w:val="000000" w:themeColor="text1"/>
                <w:szCs w:val="28"/>
              </w:rPr>
            </w:pPr>
            <w:r>
              <w:rPr>
                <w:b/>
                <w:color w:val="000000" w:themeColor="text1"/>
                <w:szCs w:val="28"/>
              </w:rPr>
              <w:t>Phạm Mạnh Hiền</w:t>
            </w:r>
          </w:p>
          <w:p>
            <w:pPr>
              <w:spacing w:after="0" w:line="240" w:lineRule="auto"/>
              <w:jc w:val="center"/>
              <w:rPr>
                <w:rFonts w:cs="Times New Roman"/>
                <w:b/>
                <w:color w:val="000000" w:themeColor="text1"/>
                <w:szCs w:val="28"/>
              </w:rPr>
            </w:pPr>
            <w:r>
              <w:rPr>
                <w:rFonts w:cs="Times New Roman"/>
                <w:b/>
                <w:color w:val="000000" w:themeColor="text1"/>
                <w:szCs w:val="28"/>
              </w:rPr>
              <w:t>Chủ tịch UBND phường Đại Nài</w:t>
            </w:r>
          </w:p>
          <w:p>
            <w:pPr>
              <w:pStyle w:val="NormalWeb"/>
              <w:spacing w:before="0" w:beforeAutospacing="0" w:after="0" w:afterAutospacing="0"/>
              <w:jc w:val="center"/>
              <w:rPr>
                <w:b/>
                <w:color w:val="000000" w:themeColor="text1"/>
                <w:sz w:val="28"/>
                <w:szCs w:val="28"/>
              </w:rPr>
            </w:pPr>
          </w:p>
        </w:tc>
      </w:tr>
    </w:tbl>
    <w:p>
      <w:pPr>
        <w:pStyle w:val="NormalWeb"/>
        <w:spacing w:before="0" w:beforeAutospacing="0" w:after="0" w:afterAutospacing="0" w:line="276" w:lineRule="auto"/>
        <w:ind w:firstLine="720"/>
        <w:jc w:val="both"/>
        <w:rPr>
          <w:color w:val="FF0000"/>
          <w:szCs w:val="28"/>
        </w:rPr>
      </w:pPr>
    </w:p>
    <w:p>
      <w:pPr>
        <w:rPr>
          <w:color w:val="FF0000"/>
        </w:rPr>
      </w:pPr>
    </w:p>
    <w:sectPr>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23224"/>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BE"/>
    <w:multiLevelType w:val="hybridMultilevel"/>
    <w:tmpl w:val="B032193C"/>
    <w:lvl w:ilvl="0" w:tplc="60287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30B3F"/>
    <w:multiLevelType w:val="hybridMultilevel"/>
    <w:tmpl w:val="5FE2E770"/>
    <w:lvl w:ilvl="0" w:tplc="BCD6E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E728FD"/>
    <w:multiLevelType w:val="hybridMultilevel"/>
    <w:tmpl w:val="4516E87C"/>
    <w:lvl w:ilvl="0" w:tplc="D9C88EDE">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836486"/>
    <w:multiLevelType w:val="hybridMultilevel"/>
    <w:tmpl w:val="B164F53A"/>
    <w:lvl w:ilvl="0" w:tplc="E37C89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153547"/>
    <w:multiLevelType w:val="hybridMultilevel"/>
    <w:tmpl w:val="C7DE17C6"/>
    <w:lvl w:ilvl="0" w:tplc="073276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0A5321"/>
    <w:multiLevelType w:val="hybridMultilevel"/>
    <w:tmpl w:val="6D664EC8"/>
    <w:lvl w:ilvl="0" w:tplc="24288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A046BA"/>
    <w:multiLevelType w:val="hybridMultilevel"/>
    <w:tmpl w:val="6F663C7E"/>
    <w:lvl w:ilvl="0" w:tplc="9A4A8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D31C42"/>
    <w:multiLevelType w:val="hybridMultilevel"/>
    <w:tmpl w:val="BB18155A"/>
    <w:lvl w:ilvl="0" w:tplc="103886E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jc w:val="center"/>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Pr>
      <w:rFonts w:eastAsiaTheme="minorEastAsia" w:cs="Times New Roman"/>
      <w:b/>
      <w:bCs/>
      <w:sz w:val="36"/>
      <w:szCs w:val="3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jc w:val="center"/>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Pr>
      <w:rFonts w:eastAsiaTheme="minorEastAsia" w:cs="Times New Roman"/>
      <w:b/>
      <w:bCs/>
      <w:sz w:val="36"/>
      <w:szCs w:val="3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cp:lastPrinted>2022-11-16T07:00:00Z</cp:lastPrinted>
  <dcterms:created xsi:type="dcterms:W3CDTF">2023-11-07T07:05:00Z</dcterms:created>
  <dcterms:modified xsi:type="dcterms:W3CDTF">2024-10-29T10:09:00Z</dcterms:modified>
</cp:coreProperties>
</file>